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1ACEA" w14:textId="02F1C0C2" w:rsidR="00D226DA" w:rsidRPr="00D834EC" w:rsidRDefault="00D6561D" w:rsidP="0073572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bookmarkStart w:id="0" w:name="_Hlk144305237"/>
      <w:r>
        <w:rPr>
          <w:rFonts w:ascii="Titillium Web" w:hAnsi="Titillium Web"/>
          <w:color w:val="auto"/>
          <w:sz w:val="22"/>
          <w:szCs w:val="22"/>
        </w:rPr>
        <w:t>January 20</w:t>
      </w:r>
      <w:r w:rsidR="0004601B" w:rsidRPr="00D834EC">
        <w:rPr>
          <w:rFonts w:ascii="Titillium Web" w:hAnsi="Titillium Web"/>
          <w:color w:val="auto"/>
          <w:sz w:val="22"/>
          <w:szCs w:val="22"/>
        </w:rPr>
        <w:t>,2025</w:t>
      </w:r>
    </w:p>
    <w:p w14:paraId="067A0810" w14:textId="78936B44" w:rsidR="008801B0" w:rsidRPr="00D834EC" w:rsidRDefault="008801B0" w:rsidP="0073572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D834EC">
        <w:rPr>
          <w:rFonts w:ascii="Titillium Web" w:hAnsi="Titillium Web"/>
          <w:color w:val="auto"/>
          <w:sz w:val="22"/>
          <w:szCs w:val="22"/>
        </w:rPr>
        <w:t>Dear Customer,</w:t>
      </w:r>
    </w:p>
    <w:p w14:paraId="75AC826B" w14:textId="77777777" w:rsidR="00F0432B" w:rsidRPr="00D834EC" w:rsidRDefault="00F0432B" w:rsidP="00B15209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</w:p>
    <w:p w14:paraId="5E0987CB" w14:textId="625AF5A9" w:rsidR="003D33C5" w:rsidRPr="00D834EC" w:rsidRDefault="0004601B" w:rsidP="00B15209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D834EC">
        <w:rPr>
          <w:rFonts w:ascii="Titillium Web" w:hAnsi="Titillium Web"/>
          <w:color w:val="auto"/>
          <w:sz w:val="22"/>
          <w:szCs w:val="22"/>
        </w:rPr>
        <w:t xml:space="preserve">We are writing to inform you of the discontinuation of part number </w:t>
      </w:r>
      <w:r w:rsidR="00D6561D">
        <w:rPr>
          <w:rFonts w:ascii="Titillium Web" w:hAnsi="Titillium Web"/>
          <w:color w:val="auto"/>
          <w:sz w:val="22"/>
          <w:szCs w:val="22"/>
        </w:rPr>
        <w:t>75-0017-0000</w:t>
      </w:r>
      <w:r w:rsidRPr="00D834EC">
        <w:rPr>
          <w:rFonts w:ascii="Titillium Web" w:hAnsi="Titillium Web"/>
          <w:color w:val="auto"/>
          <w:sz w:val="22"/>
          <w:szCs w:val="22"/>
        </w:rPr>
        <w:t xml:space="preserve"> effective immediately. This product has been replaced with </w:t>
      </w:r>
      <w:r w:rsidR="00EB4331" w:rsidRPr="00D834EC">
        <w:rPr>
          <w:rFonts w:ascii="Titillium Web" w:hAnsi="Titillium Web"/>
          <w:color w:val="auto"/>
          <w:sz w:val="22"/>
          <w:szCs w:val="22"/>
        </w:rPr>
        <w:t>part number</w:t>
      </w:r>
      <w:r w:rsidRPr="00D834EC">
        <w:rPr>
          <w:rFonts w:ascii="Titillium Web" w:hAnsi="Titillium Web"/>
          <w:color w:val="auto"/>
          <w:sz w:val="22"/>
          <w:szCs w:val="22"/>
        </w:rPr>
        <w:t xml:space="preserve"> </w:t>
      </w:r>
      <w:r w:rsidRPr="00D834EC">
        <w:rPr>
          <w:rFonts w:ascii="Titillium Web" w:hAnsi="Titillium Web"/>
          <w:b/>
          <w:bCs/>
          <w:color w:val="auto"/>
          <w:sz w:val="22"/>
          <w:szCs w:val="22"/>
        </w:rPr>
        <w:t>A</w:t>
      </w:r>
      <w:r w:rsidR="00D6561D">
        <w:rPr>
          <w:rFonts w:ascii="Titillium Web" w:hAnsi="Titillium Web"/>
          <w:b/>
          <w:bCs/>
          <w:color w:val="auto"/>
          <w:sz w:val="22"/>
          <w:szCs w:val="22"/>
        </w:rPr>
        <w:t>VTL-5005-0000</w:t>
      </w:r>
      <w:r w:rsidRPr="00D834EC">
        <w:rPr>
          <w:rFonts w:ascii="Titillium Web" w:hAnsi="Titillium Web"/>
          <w:color w:val="auto"/>
          <w:sz w:val="22"/>
          <w:szCs w:val="22"/>
        </w:rPr>
        <w:t>.</w:t>
      </w:r>
    </w:p>
    <w:p w14:paraId="00335A28" w14:textId="77777777" w:rsidR="003D33C5" w:rsidRPr="00D834EC" w:rsidRDefault="003D33C5" w:rsidP="0073572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</w:p>
    <w:p w14:paraId="45D93856" w14:textId="5E890886" w:rsidR="003D33C5" w:rsidRPr="00D834EC" w:rsidRDefault="0004601B" w:rsidP="003D33C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D834EC">
        <w:rPr>
          <w:rFonts w:ascii="Titillium Web" w:hAnsi="Titillium Web"/>
          <w:color w:val="auto"/>
          <w:sz w:val="22"/>
          <w:szCs w:val="22"/>
        </w:rPr>
        <w:t xml:space="preserve">There are </w:t>
      </w:r>
      <w:r w:rsidR="00D6561D">
        <w:rPr>
          <w:rFonts w:ascii="Titillium Web" w:hAnsi="Titillium Web"/>
          <w:color w:val="auto"/>
          <w:sz w:val="22"/>
          <w:szCs w:val="22"/>
        </w:rPr>
        <w:t>some differences in the AVTL-5005-0000 compared to the 75-00017-000</w:t>
      </w:r>
      <w:r w:rsidRPr="00D834EC">
        <w:rPr>
          <w:rFonts w:ascii="Titillium Web" w:hAnsi="Titillium Web"/>
          <w:color w:val="auto"/>
          <w:sz w:val="22"/>
          <w:szCs w:val="22"/>
        </w:rPr>
        <w:t xml:space="preserve"> and we wanted to communicate those to existing customers to understand the impact.</w:t>
      </w:r>
    </w:p>
    <w:p w14:paraId="4B48DDD8" w14:textId="77777777" w:rsidR="0004601B" w:rsidRPr="00D834EC" w:rsidRDefault="0004601B" w:rsidP="003D33C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</w:p>
    <w:p w14:paraId="7714D214" w14:textId="3738D8F6" w:rsidR="0004601B" w:rsidRPr="00D834EC" w:rsidRDefault="0004601B" w:rsidP="0004601B">
      <w:pPr>
        <w:pStyle w:val="ListParagraph"/>
        <w:numPr>
          <w:ilvl w:val="0"/>
          <w:numId w:val="1"/>
        </w:numPr>
        <w:spacing w:line="240" w:lineRule="auto"/>
        <w:ind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D834EC">
        <w:rPr>
          <w:rFonts w:ascii="Titillium Web" w:hAnsi="Titillium Web"/>
          <w:color w:val="auto"/>
          <w:sz w:val="22"/>
          <w:szCs w:val="22"/>
        </w:rPr>
        <w:t xml:space="preserve">Blade </w:t>
      </w:r>
      <w:r w:rsidR="00EB4331" w:rsidRPr="00D834EC">
        <w:rPr>
          <w:rFonts w:ascii="Titillium Web" w:hAnsi="Titillium Web"/>
          <w:color w:val="auto"/>
          <w:sz w:val="22"/>
          <w:szCs w:val="22"/>
        </w:rPr>
        <w:t>form, fit, and function</w:t>
      </w:r>
      <w:r w:rsidRPr="00D834EC">
        <w:rPr>
          <w:rFonts w:ascii="Titillium Web" w:hAnsi="Titillium Web"/>
          <w:color w:val="auto"/>
          <w:sz w:val="22"/>
          <w:szCs w:val="22"/>
        </w:rPr>
        <w:t xml:space="preserve"> remain the same. This product </w:t>
      </w:r>
      <w:r w:rsidR="00720C31">
        <w:rPr>
          <w:rFonts w:ascii="Titillium Web" w:hAnsi="Titillium Web"/>
          <w:color w:val="auto"/>
          <w:sz w:val="22"/>
          <w:szCs w:val="22"/>
        </w:rPr>
        <w:t>still utilizes a 2 blade razor head,</w:t>
      </w:r>
      <w:r w:rsidRPr="00D834EC">
        <w:rPr>
          <w:rFonts w:ascii="Titillium Web" w:hAnsi="Titillium Web"/>
          <w:color w:val="auto"/>
          <w:sz w:val="22"/>
          <w:szCs w:val="22"/>
        </w:rPr>
        <w:t xml:space="preserve"> 3 facet, Stainless Steel, Coated, and Oiled blade.</w:t>
      </w:r>
    </w:p>
    <w:p w14:paraId="14BF42C7" w14:textId="3B8D6B7A" w:rsidR="00E07ECF" w:rsidRPr="00812C41" w:rsidRDefault="0004601B" w:rsidP="00812C41">
      <w:pPr>
        <w:pStyle w:val="ListParagraph"/>
        <w:numPr>
          <w:ilvl w:val="0"/>
          <w:numId w:val="1"/>
        </w:numPr>
        <w:spacing w:line="240" w:lineRule="auto"/>
        <w:ind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D834EC">
        <w:rPr>
          <w:rFonts w:ascii="Titillium Web" w:hAnsi="Titillium Web"/>
          <w:color w:val="auto"/>
          <w:sz w:val="22"/>
          <w:szCs w:val="22"/>
        </w:rPr>
        <w:t xml:space="preserve">Case size </w:t>
      </w:r>
      <w:r w:rsidR="001E1D50">
        <w:rPr>
          <w:rFonts w:ascii="Titillium Web" w:hAnsi="Titillium Web"/>
          <w:color w:val="auto"/>
          <w:sz w:val="22"/>
          <w:szCs w:val="22"/>
        </w:rPr>
        <w:t>remains</w:t>
      </w:r>
      <w:r w:rsidR="00D6561D">
        <w:rPr>
          <w:rFonts w:ascii="Titillium Web" w:hAnsi="Titillium Web"/>
          <w:color w:val="auto"/>
          <w:sz w:val="22"/>
          <w:szCs w:val="22"/>
        </w:rPr>
        <w:t xml:space="preserve"> the same. 10 razors per bag, 10 bags per case.</w:t>
      </w:r>
    </w:p>
    <w:p w14:paraId="48D7AE18" w14:textId="58D0D813" w:rsidR="00D834EC" w:rsidRPr="00D834EC" w:rsidRDefault="00D6561D" w:rsidP="00D834EC">
      <w:pPr>
        <w:pStyle w:val="ListParagraph"/>
        <w:numPr>
          <w:ilvl w:val="0"/>
          <w:numId w:val="1"/>
        </w:numPr>
        <w:spacing w:line="240" w:lineRule="auto"/>
        <w:ind w:right="-720"/>
        <w:jc w:val="both"/>
        <w:rPr>
          <w:rFonts w:ascii="Titillium Web" w:hAnsi="Titillium Web"/>
          <w:color w:val="auto"/>
          <w:sz w:val="22"/>
          <w:szCs w:val="22"/>
        </w:rPr>
      </w:pPr>
      <w:r>
        <w:rPr>
          <w:rFonts w:ascii="Titillium Web" w:hAnsi="Titillium Web"/>
          <w:color w:val="auto"/>
          <w:sz w:val="22"/>
          <w:szCs w:val="22"/>
        </w:rPr>
        <w:t>Improvements</w:t>
      </w:r>
      <w:r w:rsidR="001E1D50">
        <w:rPr>
          <w:rFonts w:ascii="Titillium Web" w:hAnsi="Titillium Web"/>
          <w:color w:val="auto"/>
          <w:sz w:val="22"/>
          <w:szCs w:val="22"/>
        </w:rPr>
        <w:t xml:space="preserve"> within</w:t>
      </w:r>
      <w:r>
        <w:rPr>
          <w:rFonts w:ascii="Titillium Web" w:hAnsi="Titillium Web"/>
          <w:color w:val="auto"/>
          <w:sz w:val="22"/>
          <w:szCs w:val="22"/>
        </w:rPr>
        <w:t xml:space="preserve"> the cartridge head </w:t>
      </w:r>
      <w:r w:rsidR="001E1D50">
        <w:rPr>
          <w:rFonts w:ascii="Titillium Web" w:hAnsi="Titillium Web"/>
          <w:color w:val="auto"/>
          <w:sz w:val="22"/>
          <w:szCs w:val="22"/>
        </w:rPr>
        <w:t>includ</w:t>
      </w:r>
      <w:r w:rsidR="00994EA7">
        <w:rPr>
          <w:rFonts w:ascii="Titillium Web" w:hAnsi="Titillium Web"/>
          <w:color w:val="auto"/>
          <w:sz w:val="22"/>
          <w:szCs w:val="22"/>
        </w:rPr>
        <w:t>e changes to</w:t>
      </w:r>
      <w:r>
        <w:rPr>
          <w:rFonts w:ascii="Titillium Web" w:hAnsi="Titillium Web"/>
          <w:color w:val="auto"/>
          <w:sz w:val="22"/>
          <w:szCs w:val="22"/>
        </w:rPr>
        <w:t xml:space="preserve"> the blade design and guard bar.</w:t>
      </w:r>
    </w:p>
    <w:p w14:paraId="1E8FC14B" w14:textId="6A001031" w:rsidR="00EB4331" w:rsidRPr="00D834EC" w:rsidRDefault="00D834EC" w:rsidP="00607593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D834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420C9" wp14:editId="7797CB28">
                <wp:simplePos x="0" y="0"/>
                <wp:positionH relativeFrom="column">
                  <wp:posOffset>2755900</wp:posOffset>
                </wp:positionH>
                <wp:positionV relativeFrom="paragraph">
                  <wp:posOffset>665480</wp:posOffset>
                </wp:positionV>
                <wp:extent cx="619125" cy="0"/>
                <wp:effectExtent l="0" t="114300" r="0" b="171450"/>
                <wp:wrapNone/>
                <wp:docPr id="170899344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42CB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17pt;margin-top:52.4pt;width:48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q8swgEAANQDAAAOAAAAZHJzL2Uyb0RvYy54bWysU8uu0zAQ3SPxD5b3NE2lXiBqehe9wAbB&#10;FY8P8HXGiSW/ZA9N8veMnTZFgO4CsfFzzpkzx+PD/WQNO0NM2ruW15stZ+Ck77TrW/792/tXbzhL&#10;KFwnjHfQ8hkSvz++fHEYQwM7P3jTQWRE4lIzhpYPiKGpqiQHsCJtfABHl8pHK5C2sa+6KEZit6ba&#10;bbd31ehjF6KXkBKdPiyX/Fj4lQKJn5VKgMy0nLRhGWMZn/JYHQ+i6aMIg5YXGeIfVFihHSVdqR4E&#10;CvYj6j+orJbRJ69wI72tvFJaQqmBqqm3v1XzdRABSi1kTgqrTen/0cpP55N7jGTDGFKTwmPMVUwq&#10;2jyTPjYVs+bVLJiQSTq8q9/Wuz1n8npV3XAhJvwA3rK8aHnCKHQ/4Mk7Ry/iY128EuePCSkzAa+A&#10;nNQ4NrZ8/7reb0sYCm3euY7hHKiBMGrhegP55QhoHE036WWFs4GF6AsopjsSuytMpavgZCI7C+oH&#10;ISU4rFcmis4wpY1ZgYuEZ4GX+AyF0nEreCnzWfCKKJm9wxVstfPxb7JxukpWS/zVgaXubMGT7+by&#10;qMUaap3i1aXNc2/+ui/w22c8/gQAAP//AwBQSwMEFAAGAAgAAAAhAC7/GEbfAAAACwEAAA8AAABk&#10;cnMvZG93bnJldi54bWxMj8FOwzAQRO9I/IO1SNyoU5qiksapEFK5wKEtldqjG2+TQLyObLc1f88i&#10;IcFxZ0az88pFsr04ow+dIwXjUQYCqXamo0bB9n15NwMRoiaje0eo4AsDLKrrq1IXxl1ojedNbASX&#10;UCi0gjbGoZAy1C1aHUZuQGLv6LzVkU/fSOP1hcttL++z7EFa3RF/aPWAzy3Wn5uTVbDqZtvd7hVX&#10;H8sXrx/T294kuVfq9iY9zUFETPEvDD/zeTpUvOngTmSC6BXkk5xZIhtZzgycmE7GUxCHX0VWpfzP&#10;UH0DAAD//wMAUEsBAi0AFAAGAAgAAAAhALaDOJL+AAAA4QEAABMAAAAAAAAAAAAAAAAAAAAAAFtD&#10;b250ZW50X1R5cGVzXS54bWxQSwECLQAUAAYACAAAACEAOP0h/9YAAACUAQAACwAAAAAAAAAAAAAA&#10;AAAvAQAAX3JlbHMvLnJlbHNQSwECLQAUAAYACAAAACEAFuavLMIBAADUAwAADgAAAAAAAAAAAAAA&#10;AAAuAgAAZHJzL2Uyb0RvYy54bWxQSwECLQAUAAYACAAAACEALv8YRt8AAAALAQAADwAAAAAAAAAA&#10;AAAAAAAcBAAAZHJzL2Rvd25yZXYueG1sUEsFBgAAAAAEAAQA8wAAACgFAAAAAA==&#10;" strokecolor="#4f81bd [3204]" strokeweight="4.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B4331" w:rsidRPr="00D834EC">
        <w:rPr>
          <w:rFonts w:ascii="Titillium Web" w:hAnsi="Titillium Web"/>
          <w:color w:val="auto"/>
          <w:sz w:val="22"/>
          <w:szCs w:val="22"/>
        </w:rPr>
        <w:t xml:space="preserve">     </w:t>
      </w:r>
      <w:r w:rsidR="001E1D50">
        <w:rPr>
          <w:rFonts w:ascii="Titillium Web" w:hAnsi="Titillium Web"/>
          <w:noProof/>
          <w:color w:val="auto"/>
          <w:sz w:val="22"/>
          <w:szCs w:val="22"/>
        </w:rPr>
        <w:drawing>
          <wp:inline distT="0" distB="0" distL="0" distR="0" wp14:anchorId="0FE14917" wp14:editId="1463DB9F">
            <wp:extent cx="978414" cy="1649063"/>
            <wp:effectExtent l="0" t="0" r="0" b="8890"/>
            <wp:docPr id="132428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8556" name="Picture 1324285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8414" cy="164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32B" w:rsidRPr="00D834EC">
        <w:rPr>
          <w:rFonts w:ascii="Titillium Web" w:hAnsi="Titillium Web"/>
          <w:color w:val="auto"/>
          <w:sz w:val="22"/>
          <w:szCs w:val="22"/>
        </w:rPr>
        <w:t xml:space="preserve">     </w:t>
      </w:r>
      <w:r w:rsidR="00EB4331" w:rsidRPr="00D834EC">
        <w:rPr>
          <w:rFonts w:ascii="Titillium Web" w:hAnsi="Titillium Web"/>
          <w:color w:val="auto"/>
          <w:sz w:val="22"/>
          <w:szCs w:val="22"/>
        </w:rPr>
        <w:t xml:space="preserve">   </w:t>
      </w:r>
      <w:r w:rsidR="00F0432B" w:rsidRPr="00D834EC">
        <w:rPr>
          <w:rFonts w:ascii="Titillium Web" w:hAnsi="Titillium Web"/>
          <w:color w:val="auto"/>
          <w:sz w:val="22"/>
          <w:szCs w:val="22"/>
        </w:rPr>
        <w:t xml:space="preserve">    </w:t>
      </w:r>
      <w:r w:rsidR="001E1D50">
        <w:rPr>
          <w:rFonts w:ascii="Titillium Web" w:hAnsi="Titillium Web"/>
          <w:color w:val="auto"/>
          <w:sz w:val="22"/>
          <w:szCs w:val="22"/>
        </w:rPr>
        <w:tab/>
      </w:r>
      <w:r w:rsidR="001E1D50">
        <w:rPr>
          <w:rFonts w:ascii="Titillium Web" w:hAnsi="Titillium Web"/>
          <w:color w:val="auto"/>
          <w:sz w:val="22"/>
          <w:szCs w:val="22"/>
        </w:rPr>
        <w:tab/>
      </w:r>
      <w:r w:rsidR="001E1D50">
        <w:rPr>
          <w:rFonts w:ascii="Titillium Web" w:hAnsi="Titillium Web"/>
          <w:color w:val="auto"/>
          <w:sz w:val="22"/>
          <w:szCs w:val="22"/>
        </w:rPr>
        <w:tab/>
      </w:r>
      <w:r w:rsidR="00F0432B" w:rsidRPr="00D834EC">
        <w:rPr>
          <w:rFonts w:ascii="Titillium Web" w:hAnsi="Titillium Web"/>
          <w:color w:val="auto"/>
          <w:sz w:val="22"/>
          <w:szCs w:val="22"/>
        </w:rPr>
        <w:t xml:space="preserve">   </w:t>
      </w:r>
      <w:r w:rsidR="001E1D50" w:rsidRPr="001E1D50">
        <w:rPr>
          <w:rFonts w:ascii="Titillium Web" w:hAnsi="Titillium Web"/>
          <w:noProof/>
          <w:color w:val="auto"/>
          <w:sz w:val="22"/>
          <w:szCs w:val="22"/>
        </w:rPr>
        <w:drawing>
          <wp:inline distT="0" distB="0" distL="0" distR="0" wp14:anchorId="4021D6D4" wp14:editId="6D3B53F0">
            <wp:extent cx="990738" cy="1743318"/>
            <wp:effectExtent l="0" t="0" r="0" b="9525"/>
            <wp:docPr id="230123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232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738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0C67" w14:textId="3008A760" w:rsidR="00885F40" w:rsidRPr="00D834EC" w:rsidRDefault="001E1D50" w:rsidP="0073572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r>
        <w:rPr>
          <w:rFonts w:ascii="Titillium Web" w:hAnsi="Titillium Web"/>
          <w:color w:val="auto"/>
          <w:sz w:val="22"/>
          <w:szCs w:val="22"/>
        </w:rPr>
        <w:t>75-0017-0000</w:t>
      </w:r>
      <w:r w:rsidR="00EB4331" w:rsidRPr="00D834EC">
        <w:rPr>
          <w:rFonts w:ascii="Titillium Web" w:hAnsi="Titillium Web"/>
          <w:color w:val="auto"/>
          <w:sz w:val="22"/>
          <w:szCs w:val="22"/>
        </w:rPr>
        <w:t xml:space="preserve"> (discontinued) </w:t>
      </w:r>
      <w:r w:rsidR="00F0432B" w:rsidRPr="00D834EC">
        <w:rPr>
          <w:rFonts w:ascii="Titillium Web" w:hAnsi="Titillium Web"/>
          <w:color w:val="auto"/>
          <w:sz w:val="22"/>
          <w:szCs w:val="22"/>
        </w:rPr>
        <w:t xml:space="preserve">  </w:t>
      </w:r>
      <w:r w:rsidR="00EB4331" w:rsidRPr="00D834EC">
        <w:rPr>
          <w:rFonts w:ascii="Titillium Web" w:hAnsi="Titillium Web"/>
          <w:color w:val="auto"/>
          <w:sz w:val="22"/>
          <w:szCs w:val="22"/>
        </w:rPr>
        <w:t xml:space="preserve"> </w:t>
      </w:r>
      <w:r w:rsidR="00F0432B" w:rsidRPr="00D834EC">
        <w:rPr>
          <w:rFonts w:ascii="Titillium Web" w:hAnsi="Titillium Web"/>
          <w:color w:val="auto"/>
          <w:sz w:val="22"/>
          <w:szCs w:val="22"/>
        </w:rPr>
        <w:t xml:space="preserve">               </w:t>
      </w:r>
      <w:r>
        <w:rPr>
          <w:rFonts w:ascii="Titillium Web" w:hAnsi="Titillium Web"/>
          <w:color w:val="auto"/>
          <w:sz w:val="22"/>
          <w:szCs w:val="22"/>
        </w:rPr>
        <w:t>AVTL-5005-0000</w:t>
      </w:r>
      <w:r w:rsidR="00F0432B" w:rsidRPr="00D834EC">
        <w:rPr>
          <w:rFonts w:ascii="Titillium Web" w:hAnsi="Titillium Web"/>
          <w:color w:val="auto"/>
          <w:sz w:val="22"/>
          <w:szCs w:val="22"/>
        </w:rPr>
        <w:t xml:space="preserve"> (new)</w:t>
      </w:r>
    </w:p>
    <w:p w14:paraId="5EABA108" w14:textId="77777777" w:rsidR="00EB4331" w:rsidRPr="00D834EC" w:rsidRDefault="00EB4331" w:rsidP="0073572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</w:p>
    <w:p w14:paraId="7B06C16F" w14:textId="16C3C787" w:rsidR="00042BAE" w:rsidRPr="00D834EC" w:rsidRDefault="00042BAE" w:rsidP="0073572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D834EC">
        <w:rPr>
          <w:rFonts w:ascii="Titillium Web" w:hAnsi="Titillium Web"/>
          <w:color w:val="auto"/>
          <w:sz w:val="22"/>
          <w:szCs w:val="22"/>
        </w:rPr>
        <w:t>Thank you for your continued support, and we</w:t>
      </w:r>
      <w:r w:rsidR="009E4343" w:rsidRPr="00D834EC">
        <w:rPr>
          <w:rFonts w:ascii="Titillium Web" w:hAnsi="Titillium Web"/>
          <w:color w:val="auto"/>
          <w:sz w:val="22"/>
          <w:szCs w:val="22"/>
        </w:rPr>
        <w:t xml:space="preserve"> sincerely appreciate your business.</w:t>
      </w:r>
    </w:p>
    <w:p w14:paraId="5883622F" w14:textId="25EAC5A4" w:rsidR="008801B0" w:rsidRPr="00D834EC" w:rsidRDefault="008801B0" w:rsidP="0073572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</w:p>
    <w:p w14:paraId="435A820F" w14:textId="2AA75F69" w:rsidR="008801B0" w:rsidRPr="00D834EC" w:rsidRDefault="0004601B" w:rsidP="00735725">
      <w:pPr>
        <w:spacing w:line="240" w:lineRule="auto"/>
        <w:ind w:left="1800" w:right="-720"/>
        <w:jc w:val="both"/>
        <w:rPr>
          <w:rFonts w:ascii="Freestyle Script" w:hAnsi="Freestyle Script"/>
          <w:color w:val="auto"/>
          <w:sz w:val="48"/>
          <w:szCs w:val="48"/>
        </w:rPr>
      </w:pPr>
      <w:r w:rsidRPr="00D834EC">
        <w:rPr>
          <w:rFonts w:ascii="Freestyle Script" w:hAnsi="Freestyle Script"/>
          <w:color w:val="auto"/>
          <w:sz w:val="48"/>
          <w:szCs w:val="48"/>
        </w:rPr>
        <w:t>Garnett A. Andes</w:t>
      </w:r>
    </w:p>
    <w:p w14:paraId="634BF912" w14:textId="55F7F044" w:rsidR="00510D2F" w:rsidRPr="00812C41" w:rsidRDefault="0004601B" w:rsidP="00735725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812C41">
        <w:rPr>
          <w:rFonts w:ascii="Titillium Web" w:hAnsi="Titillium Web"/>
          <w:color w:val="auto"/>
          <w:sz w:val="22"/>
          <w:szCs w:val="22"/>
        </w:rPr>
        <w:t>Garnett A. Andes</w:t>
      </w:r>
    </w:p>
    <w:p w14:paraId="6AE212C3" w14:textId="77777777" w:rsidR="00812C41" w:rsidRPr="00812C41" w:rsidRDefault="0004601B" w:rsidP="00812C41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812C41">
        <w:rPr>
          <w:rFonts w:ascii="Titillium Web" w:hAnsi="Titillium Web"/>
          <w:color w:val="auto"/>
          <w:sz w:val="22"/>
          <w:szCs w:val="22"/>
        </w:rPr>
        <w:t>Product Manager</w:t>
      </w:r>
    </w:p>
    <w:p w14:paraId="34E114A5" w14:textId="22FD4F90" w:rsidR="007D7697" w:rsidRPr="00812C41" w:rsidRDefault="0004601B" w:rsidP="00812C41">
      <w:pPr>
        <w:spacing w:line="240" w:lineRule="auto"/>
        <w:ind w:left="1800" w:right="-720"/>
        <w:jc w:val="both"/>
        <w:rPr>
          <w:rFonts w:ascii="Titillium Web" w:hAnsi="Titillium Web"/>
          <w:color w:val="auto"/>
          <w:sz w:val="22"/>
          <w:szCs w:val="22"/>
        </w:rPr>
      </w:pPr>
      <w:r w:rsidRPr="00812C41">
        <w:rPr>
          <w:rFonts w:ascii="Titillium Web" w:hAnsi="Titillium Web"/>
          <w:color w:val="auto"/>
          <w:sz w:val="22"/>
          <w:szCs w:val="22"/>
        </w:rPr>
        <w:t xml:space="preserve">AccuTec, </w:t>
      </w:r>
      <w:r w:rsidR="00EF0BC4" w:rsidRPr="00812C41">
        <w:rPr>
          <w:rFonts w:ascii="Titillium Web" w:hAnsi="Titillium Web"/>
          <w:color w:val="auto"/>
          <w:sz w:val="22"/>
          <w:szCs w:val="22"/>
        </w:rPr>
        <w:t>Inc</w:t>
      </w:r>
      <w:r w:rsidRPr="00812C41">
        <w:rPr>
          <w:rFonts w:ascii="Titillium Web" w:hAnsi="Titillium Web"/>
          <w:color w:val="auto"/>
          <w:sz w:val="22"/>
          <w:szCs w:val="22"/>
        </w:rPr>
        <w:t>.</w:t>
      </w:r>
      <w:bookmarkEnd w:id="0"/>
    </w:p>
    <w:sectPr w:rsidR="007D7697" w:rsidRPr="00812C41" w:rsidSect="00812C41">
      <w:headerReference w:type="default" r:id="rId9"/>
      <w:type w:val="continuous"/>
      <w:pgSz w:w="12240" w:h="15840"/>
      <w:pgMar w:top="3330" w:right="1800" w:bottom="1440" w:left="180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FDDE5" w14:textId="77777777" w:rsidR="00DC0EB5" w:rsidRDefault="00DC0EB5" w:rsidP="00813F5F">
      <w:pPr>
        <w:spacing w:line="240" w:lineRule="auto"/>
      </w:pPr>
      <w:r>
        <w:separator/>
      </w:r>
    </w:p>
  </w:endnote>
  <w:endnote w:type="continuationSeparator" w:id="0">
    <w:p w14:paraId="1579D5C2" w14:textId="77777777" w:rsidR="00DC0EB5" w:rsidRDefault="00DC0EB5" w:rsidP="00813F5F">
      <w:pPr>
        <w:spacing w:line="240" w:lineRule="auto"/>
      </w:pPr>
      <w:r>
        <w:continuationSeparator/>
      </w:r>
    </w:p>
  </w:endnote>
  <w:endnote w:type="continuationNotice" w:id="1">
    <w:p w14:paraId="6537BF50" w14:textId="77777777" w:rsidR="00DC0EB5" w:rsidRDefault="00DC0EB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09122" w14:textId="77777777" w:rsidR="00DC0EB5" w:rsidRDefault="00DC0EB5" w:rsidP="00813F5F">
      <w:pPr>
        <w:spacing w:line="240" w:lineRule="auto"/>
      </w:pPr>
      <w:r>
        <w:separator/>
      </w:r>
    </w:p>
  </w:footnote>
  <w:footnote w:type="continuationSeparator" w:id="0">
    <w:p w14:paraId="72FD0CB6" w14:textId="77777777" w:rsidR="00DC0EB5" w:rsidRDefault="00DC0EB5" w:rsidP="00813F5F">
      <w:pPr>
        <w:spacing w:line="240" w:lineRule="auto"/>
      </w:pPr>
      <w:r>
        <w:continuationSeparator/>
      </w:r>
    </w:p>
  </w:footnote>
  <w:footnote w:type="continuationNotice" w:id="1">
    <w:p w14:paraId="01D413AD" w14:textId="77777777" w:rsidR="00DC0EB5" w:rsidRDefault="00DC0EB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BA35D" w14:textId="2D50A1A4" w:rsidR="00813F5F" w:rsidRDefault="004248D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02F1A5" wp14:editId="7035ED63">
          <wp:simplePos x="0" y="0"/>
          <wp:positionH relativeFrom="page">
            <wp:align>left</wp:align>
          </wp:positionH>
          <wp:positionV relativeFrom="paragraph">
            <wp:posOffset>-367487</wp:posOffset>
          </wp:positionV>
          <wp:extent cx="7810500" cy="10107813"/>
          <wp:effectExtent l="0" t="0" r="0" b="8255"/>
          <wp:wrapNone/>
          <wp:docPr id="273297029" name="Picture 27329702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500" cy="10107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57CAE"/>
    <w:multiLevelType w:val="hybridMultilevel"/>
    <w:tmpl w:val="E886023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269971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1s7A0Nzc3NTW0NDVR0lEKTi0uzszPAykwrAUAncnfeiwAAAA="/>
  </w:docVars>
  <w:rsids>
    <w:rsidRoot w:val="008801B0"/>
    <w:rsid w:val="00000A2F"/>
    <w:rsid w:val="0000518B"/>
    <w:rsid w:val="00010829"/>
    <w:rsid w:val="00016296"/>
    <w:rsid w:val="00020024"/>
    <w:rsid w:val="00042BAE"/>
    <w:rsid w:val="000446BA"/>
    <w:rsid w:val="0004601B"/>
    <w:rsid w:val="000649E1"/>
    <w:rsid w:val="000965EC"/>
    <w:rsid w:val="000E3715"/>
    <w:rsid w:val="00105B7A"/>
    <w:rsid w:val="00127D64"/>
    <w:rsid w:val="001D1A39"/>
    <w:rsid w:val="001E1D50"/>
    <w:rsid w:val="001F199F"/>
    <w:rsid w:val="001F267B"/>
    <w:rsid w:val="00206BB2"/>
    <w:rsid w:val="00230402"/>
    <w:rsid w:val="00230934"/>
    <w:rsid w:val="00231C6F"/>
    <w:rsid w:val="00247D94"/>
    <w:rsid w:val="00251E52"/>
    <w:rsid w:val="002530F6"/>
    <w:rsid w:val="00295142"/>
    <w:rsid w:val="002A0712"/>
    <w:rsid w:val="002A76CD"/>
    <w:rsid w:val="002D5EE3"/>
    <w:rsid w:val="002D7795"/>
    <w:rsid w:val="002E00C4"/>
    <w:rsid w:val="002E4662"/>
    <w:rsid w:val="00304883"/>
    <w:rsid w:val="00327EBB"/>
    <w:rsid w:val="003759E8"/>
    <w:rsid w:val="003800EA"/>
    <w:rsid w:val="003B7609"/>
    <w:rsid w:val="003C6E57"/>
    <w:rsid w:val="003D33C5"/>
    <w:rsid w:val="004248D0"/>
    <w:rsid w:val="004304A7"/>
    <w:rsid w:val="00454F37"/>
    <w:rsid w:val="004570F8"/>
    <w:rsid w:val="004926AF"/>
    <w:rsid w:val="004A7A76"/>
    <w:rsid w:val="005004D8"/>
    <w:rsid w:val="00510D2F"/>
    <w:rsid w:val="00522AA3"/>
    <w:rsid w:val="00556D72"/>
    <w:rsid w:val="0056381F"/>
    <w:rsid w:val="00577A0A"/>
    <w:rsid w:val="00581967"/>
    <w:rsid w:val="005A7008"/>
    <w:rsid w:val="005C1FC3"/>
    <w:rsid w:val="005C55FA"/>
    <w:rsid w:val="005D6979"/>
    <w:rsid w:val="00607593"/>
    <w:rsid w:val="00614D5A"/>
    <w:rsid w:val="0062393B"/>
    <w:rsid w:val="006561F0"/>
    <w:rsid w:val="00661AB6"/>
    <w:rsid w:val="00676174"/>
    <w:rsid w:val="00676CC6"/>
    <w:rsid w:val="006A6542"/>
    <w:rsid w:val="006A6EF1"/>
    <w:rsid w:val="006A787B"/>
    <w:rsid w:val="006B6103"/>
    <w:rsid w:val="006F30A8"/>
    <w:rsid w:val="006F4806"/>
    <w:rsid w:val="0070185A"/>
    <w:rsid w:val="00720C31"/>
    <w:rsid w:val="00735725"/>
    <w:rsid w:val="00772AE2"/>
    <w:rsid w:val="00792AF7"/>
    <w:rsid w:val="007938C8"/>
    <w:rsid w:val="007A2157"/>
    <w:rsid w:val="007A6CCD"/>
    <w:rsid w:val="007B1E0F"/>
    <w:rsid w:val="007C0BC2"/>
    <w:rsid w:val="007D24BF"/>
    <w:rsid w:val="007D7697"/>
    <w:rsid w:val="007E1E47"/>
    <w:rsid w:val="007E6E58"/>
    <w:rsid w:val="00805610"/>
    <w:rsid w:val="00807AD7"/>
    <w:rsid w:val="00812C41"/>
    <w:rsid w:val="00813F5F"/>
    <w:rsid w:val="0083133E"/>
    <w:rsid w:val="008407CA"/>
    <w:rsid w:val="00847F4D"/>
    <w:rsid w:val="008801B0"/>
    <w:rsid w:val="00885F40"/>
    <w:rsid w:val="00890EDE"/>
    <w:rsid w:val="00894F8F"/>
    <w:rsid w:val="008A0B2E"/>
    <w:rsid w:val="008A4F7A"/>
    <w:rsid w:val="008A59A3"/>
    <w:rsid w:val="008B02E3"/>
    <w:rsid w:val="008B4573"/>
    <w:rsid w:val="008B6488"/>
    <w:rsid w:val="008C3660"/>
    <w:rsid w:val="0091614E"/>
    <w:rsid w:val="009414AD"/>
    <w:rsid w:val="00973471"/>
    <w:rsid w:val="009931CB"/>
    <w:rsid w:val="00994EA7"/>
    <w:rsid w:val="009A348A"/>
    <w:rsid w:val="009E4343"/>
    <w:rsid w:val="009F0799"/>
    <w:rsid w:val="009F2FBF"/>
    <w:rsid w:val="00A10FE1"/>
    <w:rsid w:val="00A23D3E"/>
    <w:rsid w:val="00A30C40"/>
    <w:rsid w:val="00A55427"/>
    <w:rsid w:val="00A56BE5"/>
    <w:rsid w:val="00A57C1C"/>
    <w:rsid w:val="00AE121E"/>
    <w:rsid w:val="00AF6163"/>
    <w:rsid w:val="00B15209"/>
    <w:rsid w:val="00B22EAD"/>
    <w:rsid w:val="00B47834"/>
    <w:rsid w:val="00B505B2"/>
    <w:rsid w:val="00B5663D"/>
    <w:rsid w:val="00B60192"/>
    <w:rsid w:val="00B64FE1"/>
    <w:rsid w:val="00BA6B98"/>
    <w:rsid w:val="00BC11E5"/>
    <w:rsid w:val="00BD4A6E"/>
    <w:rsid w:val="00BE24BE"/>
    <w:rsid w:val="00C230DF"/>
    <w:rsid w:val="00C27768"/>
    <w:rsid w:val="00C37C43"/>
    <w:rsid w:val="00C4028C"/>
    <w:rsid w:val="00C408C2"/>
    <w:rsid w:val="00C54201"/>
    <w:rsid w:val="00C65ABA"/>
    <w:rsid w:val="00C765C2"/>
    <w:rsid w:val="00C83A63"/>
    <w:rsid w:val="00C83C6D"/>
    <w:rsid w:val="00CA616A"/>
    <w:rsid w:val="00CD03A6"/>
    <w:rsid w:val="00CF15C3"/>
    <w:rsid w:val="00D025BA"/>
    <w:rsid w:val="00D07FD5"/>
    <w:rsid w:val="00D14852"/>
    <w:rsid w:val="00D226DA"/>
    <w:rsid w:val="00D34354"/>
    <w:rsid w:val="00D6561D"/>
    <w:rsid w:val="00D834EC"/>
    <w:rsid w:val="00DA0CF6"/>
    <w:rsid w:val="00DA7EF2"/>
    <w:rsid w:val="00DC0EB5"/>
    <w:rsid w:val="00DD32A4"/>
    <w:rsid w:val="00E04A38"/>
    <w:rsid w:val="00E07ECF"/>
    <w:rsid w:val="00E104AE"/>
    <w:rsid w:val="00E639DD"/>
    <w:rsid w:val="00E7385A"/>
    <w:rsid w:val="00E77A50"/>
    <w:rsid w:val="00E96BC9"/>
    <w:rsid w:val="00EB4331"/>
    <w:rsid w:val="00EF0BC4"/>
    <w:rsid w:val="00EF20A6"/>
    <w:rsid w:val="00EF4909"/>
    <w:rsid w:val="00EF62D1"/>
    <w:rsid w:val="00F0432B"/>
    <w:rsid w:val="00F12038"/>
    <w:rsid w:val="00F12835"/>
    <w:rsid w:val="00F26661"/>
    <w:rsid w:val="00F36854"/>
    <w:rsid w:val="00F55C1C"/>
    <w:rsid w:val="00F65B32"/>
    <w:rsid w:val="00F74C8D"/>
    <w:rsid w:val="00F75B0A"/>
    <w:rsid w:val="00F771E1"/>
    <w:rsid w:val="00F92336"/>
    <w:rsid w:val="00FE123A"/>
    <w:rsid w:val="00FE5FE0"/>
    <w:rsid w:val="00FF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9D59A0"/>
  <w14:defaultImageDpi w14:val="300"/>
  <w15:docId w15:val="{0376BB66-7716-2F4F-A62F-9B0D58419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1B0"/>
    <w:pPr>
      <w:spacing w:line="360" w:lineRule="auto"/>
    </w:pPr>
    <w:rPr>
      <w:rFonts w:ascii="Tahoma" w:hAnsi="Tahoma" w:cs="Tahoma"/>
      <w:color w:val="1C2B3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1B0"/>
    <w:pPr>
      <w:spacing w:line="240" w:lineRule="auto"/>
    </w:pPr>
    <w:rPr>
      <w:rFonts w:ascii="Lucida Grande" w:hAnsi="Lucida Grande" w:cs="Lucida Grande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1B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3F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F5F"/>
    <w:rPr>
      <w:rFonts w:ascii="Tahoma" w:hAnsi="Tahoma" w:cs="Tahoma"/>
      <w:color w:val="1C2B39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13F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F5F"/>
    <w:rPr>
      <w:rFonts w:ascii="Tahoma" w:hAnsi="Tahoma" w:cs="Tahoma"/>
      <w:color w:val="1C2B39"/>
      <w:sz w:val="20"/>
      <w:szCs w:val="20"/>
    </w:rPr>
  </w:style>
  <w:style w:type="paragraph" w:styleId="ListParagraph">
    <w:name w:val="List Paragraph"/>
    <w:basedOn w:val="Normal"/>
    <w:uiPriority w:val="34"/>
    <w:qFormat/>
    <w:rsid w:val="00046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Ivy Group, Ltd.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Burden</dc:creator>
  <cp:keywords/>
  <dc:description/>
  <cp:lastModifiedBy>Andes Garnett A.</cp:lastModifiedBy>
  <cp:revision>4</cp:revision>
  <cp:lastPrinted>2015-12-04T17:44:00Z</cp:lastPrinted>
  <dcterms:created xsi:type="dcterms:W3CDTF">2026-01-20T15:59:00Z</dcterms:created>
  <dcterms:modified xsi:type="dcterms:W3CDTF">2026-01-20T20:26:00Z</dcterms:modified>
</cp:coreProperties>
</file>