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B24A" w14:textId="7616FDD1" w:rsidR="001731E4" w:rsidRDefault="006C3BDF" w:rsidP="00BF1AC4">
      <w:pPr>
        <w:pStyle w:val="BodyText"/>
        <w:kinsoku w:val="0"/>
        <w:overflowPunct w:val="0"/>
        <w:spacing w:before="100" w:line="292" w:lineRule="auto"/>
        <w:ind w:left="114" w:right="8264"/>
        <w:rPr>
          <w:rFonts w:ascii="Calibri" w:hAnsi="Calibri" w:cs="Calibri"/>
          <w:color w:val="2F5496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 w14:anchorId="124CC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179.05pt;margin-top:-15.3pt;width:173.8pt;height:173.8pt;z-index:-251658240;mso-position-horizontal-relative:text;mso-position-vertical-relative:text">
            <v:imagedata r:id="rId5" o:title="group picture"/>
          </v:shape>
        </w:pict>
      </w:r>
      <w:r>
        <w:rPr>
          <w:rFonts w:ascii="Calibri" w:hAnsi="Calibri" w:cs="Calibri"/>
          <w:noProof/>
          <w:sz w:val="20"/>
          <w:szCs w:val="20"/>
        </w:rPr>
        <w:pict w14:anchorId="60BBC7AD">
          <v:shape id="_x0000_s1038" type="#_x0000_t75" style="position:absolute;left:0;text-align:left;margin-left:359.35pt;margin-top:1.05pt;width:212.55pt;height:65.15pt;z-index:251657216;mso-position-horizontal-relative:text;mso-position-vertical-relative:text">
            <v:imagedata r:id="rId6" o:title="Space Chamber Logo"/>
          </v:shape>
        </w:pict>
      </w:r>
      <w:r w:rsidR="000B01E5">
        <w:rPr>
          <w:rFonts w:ascii="Calibri" w:hAnsi="Calibri" w:cs="Calibri"/>
          <w:color w:val="2F549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pict w14:anchorId="343C74A9">
          <v:shape id="_x0000_i1025" type="#_x0000_t75" style="width:143.25pt;height:65.25pt">
            <v:imagedata r:id="rId7" o:title=""/>
          </v:shape>
        </w:pict>
      </w:r>
      <w:r w:rsidR="00FB7CBE">
        <w:rPr>
          <w:rFonts w:ascii="Calibri" w:hAnsi="Calibri" w:cs="Calibri"/>
          <w:color w:val="2F5496"/>
          <w:sz w:val="20"/>
          <w:szCs w:val="20"/>
        </w:rPr>
        <w:t xml:space="preserve">      </w:t>
      </w:r>
      <w:r w:rsidR="001731E4">
        <w:rPr>
          <w:rFonts w:ascii="Calibri" w:hAnsi="Calibri" w:cs="Calibri"/>
          <w:color w:val="2F5496"/>
          <w:sz w:val="20"/>
          <w:szCs w:val="20"/>
        </w:rPr>
        <w:t xml:space="preserve">                                                                                         </w:t>
      </w:r>
    </w:p>
    <w:p w14:paraId="04BC0B3E" w14:textId="3E51CE3E" w:rsidR="006B6E0D" w:rsidRDefault="001731E4" w:rsidP="001D15EE">
      <w:pPr>
        <w:pStyle w:val="BodyText"/>
        <w:kinsoku w:val="0"/>
        <w:overflowPunct w:val="0"/>
        <w:spacing w:before="4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2F5496"/>
          <w:sz w:val="20"/>
          <w:szCs w:val="20"/>
        </w:rPr>
        <w:t xml:space="preserve">                                                                                 </w:t>
      </w:r>
    </w:p>
    <w:p w14:paraId="1FE8425D" w14:textId="6B144385" w:rsidR="00761BBB" w:rsidRDefault="006C3BDF" w:rsidP="00761BBB">
      <w:pPr>
        <w:pStyle w:val="BodyText"/>
        <w:kinsoku w:val="0"/>
        <w:overflowPunct w:val="0"/>
        <w:spacing w:before="46"/>
        <w:ind w:left="720"/>
        <w:rPr>
          <w:rFonts w:ascii="Calibri" w:hAnsi="Calibri" w:cs="Calibri"/>
          <w:sz w:val="20"/>
          <w:szCs w:val="20"/>
        </w:rPr>
      </w:pPr>
      <w:hyperlink r:id="rId8" w:history="1">
        <w:r w:rsidR="00761BBB">
          <w:rPr>
            <w:rStyle w:val="Hyperlink"/>
            <w:rFonts w:ascii="Calibri" w:hAnsi="Calibri" w:cs="Calibri"/>
            <w:sz w:val="20"/>
            <w:szCs w:val="20"/>
          </w:rPr>
          <w:t>www.medicaldev.com</w:t>
        </w:r>
      </w:hyperlink>
      <w:r w:rsidR="00761BBB">
        <w:rPr>
          <w:rFonts w:ascii="Calibri" w:hAnsi="Calibri" w:cs="Calibri"/>
          <w:sz w:val="20"/>
          <w:szCs w:val="20"/>
        </w:rPr>
        <w:t xml:space="preserve">                                                                         </w:t>
      </w:r>
      <w:r w:rsidR="00761BBB">
        <w:rPr>
          <w:rFonts w:ascii="Calibri" w:hAnsi="Calibri" w:cs="Calibri"/>
          <w:sz w:val="20"/>
          <w:szCs w:val="20"/>
        </w:rPr>
        <w:tab/>
      </w:r>
      <w:r w:rsidR="00761BBB">
        <w:rPr>
          <w:rFonts w:ascii="Calibri" w:hAnsi="Calibri" w:cs="Calibri"/>
          <w:sz w:val="20"/>
          <w:szCs w:val="20"/>
        </w:rPr>
        <w:tab/>
      </w:r>
      <w:r w:rsidR="00761BBB">
        <w:rPr>
          <w:rFonts w:ascii="Calibri" w:hAnsi="Calibri" w:cs="Calibri"/>
          <w:sz w:val="20"/>
          <w:szCs w:val="20"/>
        </w:rPr>
        <w:tab/>
      </w:r>
      <w:r w:rsidR="00761BBB">
        <w:rPr>
          <w:rFonts w:ascii="Calibri" w:hAnsi="Calibri" w:cs="Calibri"/>
          <w:sz w:val="20"/>
          <w:szCs w:val="20"/>
        </w:rPr>
        <w:tab/>
        <w:t xml:space="preserve"> </w:t>
      </w:r>
      <w:hyperlink r:id="rId9" w:history="1">
        <w:r w:rsidR="00761BBB">
          <w:rPr>
            <w:rStyle w:val="Hyperlink"/>
            <w:rFonts w:ascii="Calibri" w:hAnsi="Calibri" w:cs="Calibri"/>
            <w:sz w:val="20"/>
            <w:szCs w:val="20"/>
          </w:rPr>
          <w:t>www.spacechamber.com</w:t>
        </w:r>
      </w:hyperlink>
    </w:p>
    <w:p w14:paraId="6F14EEEA" w14:textId="2C46B264" w:rsidR="001D15EE" w:rsidRDefault="001D15EE" w:rsidP="00761BBB">
      <w:pPr>
        <w:pStyle w:val="BodyText"/>
        <w:kinsoku w:val="0"/>
        <w:overflowPunct w:val="0"/>
        <w:spacing w:before="46"/>
        <w:rPr>
          <w:rFonts w:ascii="Calibri" w:hAnsi="Calibri" w:cs="Calibri"/>
          <w:sz w:val="20"/>
          <w:szCs w:val="20"/>
        </w:rPr>
      </w:pPr>
    </w:p>
    <w:p w14:paraId="34434033" w14:textId="77777777" w:rsidR="00761BBB" w:rsidRDefault="00761BBB" w:rsidP="0050626B">
      <w:pPr>
        <w:pStyle w:val="BodyText"/>
        <w:kinsoku w:val="0"/>
        <w:overflowPunct w:val="0"/>
        <w:spacing w:before="46"/>
        <w:ind w:left="3600" w:firstLine="720"/>
        <w:rPr>
          <w:rFonts w:ascii="Calibri" w:hAnsi="Calibri" w:cs="Calibri"/>
          <w:sz w:val="20"/>
          <w:szCs w:val="20"/>
        </w:rPr>
      </w:pPr>
    </w:p>
    <w:p w14:paraId="2ADA53D1" w14:textId="77777777" w:rsidR="002C71F6" w:rsidRDefault="002C71F6" w:rsidP="0050626B">
      <w:pPr>
        <w:pStyle w:val="BodyText"/>
        <w:kinsoku w:val="0"/>
        <w:overflowPunct w:val="0"/>
        <w:spacing w:before="46"/>
        <w:ind w:left="3600" w:firstLine="720"/>
        <w:rPr>
          <w:rFonts w:ascii="Calibri" w:hAnsi="Calibri" w:cs="Calibri"/>
          <w:sz w:val="20"/>
          <w:szCs w:val="20"/>
        </w:rPr>
      </w:pPr>
    </w:p>
    <w:p w14:paraId="3D0806D1" w14:textId="50A5505B" w:rsidR="006B6E0D" w:rsidRDefault="00CC09F4">
      <w:pPr>
        <w:pStyle w:val="BodyText"/>
        <w:kinsoku w:val="0"/>
        <w:overflowPunct w:val="0"/>
        <w:ind w:left="260" w:right="68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Medical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Developments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International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(MDI)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offers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full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line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patented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high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quality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and low-cost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respiratory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devices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use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with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an Asthma/COPD Inhaler. </w:t>
      </w:r>
      <w:r w:rsidR="00F31794" w:rsidRPr="00CC65BE">
        <w:rPr>
          <w:rFonts w:ascii="Calibri" w:hAnsi="Calibri" w:cs="Calibri"/>
          <w:sz w:val="20"/>
          <w:szCs w:val="20"/>
        </w:rPr>
        <w:t xml:space="preserve">Valved holding chambers/spacers are a medical device attached at the end of inhalers used to minimize medication waste and side effects. </w:t>
      </w:r>
      <w:r>
        <w:rPr>
          <w:rFonts w:ascii="Calibri" w:hAnsi="Calibri" w:cs="Calibri"/>
          <w:sz w:val="20"/>
          <w:szCs w:val="20"/>
        </w:rPr>
        <w:t xml:space="preserve">The benefits </w:t>
      </w:r>
      <w:r w:rsidR="00CC65BE"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z w:val="20"/>
          <w:szCs w:val="20"/>
        </w:rPr>
        <w:t xml:space="preserve"> anti-static space chamber and </w:t>
      </w:r>
      <w:r w:rsidR="00CC65BE">
        <w:rPr>
          <w:rFonts w:ascii="Calibri" w:hAnsi="Calibri" w:cs="Calibri"/>
          <w:sz w:val="20"/>
          <w:szCs w:val="20"/>
        </w:rPr>
        <w:t xml:space="preserve">anti-static </w:t>
      </w:r>
      <w:r>
        <w:rPr>
          <w:rFonts w:ascii="Calibri" w:hAnsi="Calibri" w:cs="Calibri"/>
          <w:sz w:val="20"/>
          <w:szCs w:val="20"/>
        </w:rPr>
        <w:t>silicone face mask range include:</w:t>
      </w:r>
    </w:p>
    <w:p w14:paraId="76558AEC" w14:textId="7C8123D5" w:rsidR="00FB7CBE" w:rsidRDefault="000B01E5" w:rsidP="000B01E5">
      <w:pPr>
        <w:pStyle w:val="BodyText"/>
        <w:tabs>
          <w:tab w:val="left" w:pos="2490"/>
        </w:tabs>
        <w:kinsoku w:val="0"/>
        <w:overflowPunct w:val="0"/>
        <w:spacing w:before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7C0A3729" w14:textId="775E1FA4" w:rsidR="006B6E0D" w:rsidRDefault="00CC09F4">
      <w:pPr>
        <w:pStyle w:val="ListParagraph"/>
        <w:numPr>
          <w:ilvl w:val="0"/>
          <w:numId w:val="1"/>
        </w:numPr>
        <w:tabs>
          <w:tab w:val="left" w:pos="980"/>
        </w:tabs>
        <w:kinsoku w:val="0"/>
        <w:overflowPunct w:val="0"/>
        <w:rPr>
          <w:rFonts w:ascii="Calibri" w:hAnsi="Calibri" w:cs="Calibri"/>
          <w:color w:val="000000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Proprietary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low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resistance,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one-way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Cross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Valve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Technology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TM</w:t>
      </w:r>
      <w:r>
        <w:rPr>
          <w:rFonts w:ascii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–visible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valve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action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through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transparent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-2"/>
          <w:sz w:val="20"/>
          <w:szCs w:val="20"/>
        </w:rPr>
        <w:t>chamber</w:t>
      </w:r>
      <w:r w:rsidR="00F74BAC">
        <w:rPr>
          <w:rFonts w:ascii="Calibri" w:hAnsi="Calibri" w:cs="Calibri"/>
          <w:spacing w:val="-2"/>
          <w:sz w:val="20"/>
          <w:szCs w:val="20"/>
        </w:rPr>
        <w:t>.</w:t>
      </w:r>
    </w:p>
    <w:p w14:paraId="2EF3110A" w14:textId="70513B55" w:rsidR="006B6E0D" w:rsidRDefault="00CC09F4">
      <w:pPr>
        <w:pStyle w:val="ListParagraph"/>
        <w:numPr>
          <w:ilvl w:val="0"/>
          <w:numId w:val="1"/>
        </w:numPr>
        <w:tabs>
          <w:tab w:val="left" w:pos="980"/>
        </w:tabs>
        <w:kinsoku w:val="0"/>
        <w:overflowPunct w:val="0"/>
        <w:rPr>
          <w:rFonts w:ascii="Calibri" w:hAnsi="Calibri" w:cs="Calibri"/>
          <w:color w:val="333333"/>
          <w:spacing w:val="-2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Anti-static</w:t>
      </w:r>
      <w:r>
        <w:rPr>
          <w:rFonts w:ascii="Calibri" w:hAnsi="Calibri" w:cs="Calibri"/>
          <w:color w:val="333333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mask</w:t>
      </w:r>
      <w:r>
        <w:rPr>
          <w:rFonts w:ascii="Calibri" w:hAnsi="Calibri" w:cs="Calibri"/>
          <w:color w:val="333333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fits</w:t>
      </w:r>
      <w:r>
        <w:rPr>
          <w:rFonts w:ascii="Calibri" w:hAnsi="Calibri" w:cs="Calibri"/>
          <w:color w:val="333333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neonates,</w:t>
      </w:r>
      <w:r>
        <w:rPr>
          <w:rFonts w:ascii="Calibri" w:hAnsi="Calibri" w:cs="Calibri"/>
          <w:color w:val="333333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infants,</w:t>
      </w:r>
      <w:r>
        <w:rPr>
          <w:rFonts w:ascii="Calibri" w:hAnsi="Calibri" w:cs="Calibri"/>
          <w:color w:val="333333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children,</w:t>
      </w:r>
      <w:r>
        <w:rPr>
          <w:rFonts w:ascii="Calibri" w:hAnsi="Calibri" w:cs="Calibri"/>
          <w:color w:val="333333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adolescents,</w:t>
      </w:r>
      <w:r>
        <w:rPr>
          <w:rFonts w:ascii="Calibri" w:hAnsi="Calibri" w:cs="Calibri"/>
          <w:color w:val="333333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and</w:t>
      </w:r>
      <w:r>
        <w:rPr>
          <w:rFonts w:ascii="Calibri" w:hAnsi="Calibri" w:cs="Calibri"/>
          <w:color w:val="333333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adults</w:t>
      </w:r>
      <w:r>
        <w:rPr>
          <w:rFonts w:ascii="Calibri" w:hAnsi="Calibri" w:cs="Calibri"/>
          <w:color w:val="333333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available</w:t>
      </w:r>
      <w:r>
        <w:rPr>
          <w:rFonts w:ascii="Calibri" w:hAnsi="Calibri" w:cs="Calibri"/>
          <w:color w:val="333333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in</w:t>
      </w:r>
      <w:r>
        <w:rPr>
          <w:rFonts w:ascii="Calibri" w:hAnsi="Calibri" w:cs="Calibri"/>
          <w:color w:val="333333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S,</w:t>
      </w:r>
      <w:r>
        <w:rPr>
          <w:rFonts w:ascii="Calibri" w:hAnsi="Calibri" w:cs="Calibri"/>
          <w:color w:val="333333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M,</w:t>
      </w:r>
      <w:r>
        <w:rPr>
          <w:rFonts w:ascii="Calibri" w:hAnsi="Calibri" w:cs="Calibri"/>
          <w:color w:val="333333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L</w:t>
      </w:r>
      <w:r>
        <w:rPr>
          <w:rFonts w:ascii="Calibri" w:hAnsi="Calibri" w:cs="Calibri"/>
          <w:color w:val="333333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standard</w:t>
      </w:r>
      <w:r>
        <w:rPr>
          <w:rFonts w:ascii="Calibri" w:hAnsi="Calibri" w:cs="Calibri"/>
          <w:color w:val="333333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22mm</w:t>
      </w:r>
      <w:r>
        <w:rPr>
          <w:rFonts w:ascii="Calibri" w:hAnsi="Calibri" w:cs="Calibri"/>
          <w:color w:val="333333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>diameter</w:t>
      </w:r>
      <w:r>
        <w:rPr>
          <w:rFonts w:ascii="Calibri" w:hAnsi="Calibri" w:cs="Calibri"/>
          <w:color w:val="333333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pacing w:val="-2"/>
          <w:sz w:val="20"/>
          <w:szCs w:val="20"/>
        </w:rPr>
        <w:t>fitting</w:t>
      </w:r>
      <w:r w:rsidR="00F74BAC">
        <w:rPr>
          <w:rFonts w:ascii="Calibri" w:hAnsi="Calibri" w:cs="Calibri"/>
          <w:color w:val="333333"/>
          <w:spacing w:val="-2"/>
          <w:sz w:val="20"/>
          <w:szCs w:val="20"/>
        </w:rPr>
        <w:t>.</w:t>
      </w:r>
    </w:p>
    <w:p w14:paraId="78A86D84" w14:textId="2BE44C56" w:rsidR="004D50E1" w:rsidRDefault="004D50E1">
      <w:pPr>
        <w:pStyle w:val="ListParagraph"/>
        <w:numPr>
          <w:ilvl w:val="0"/>
          <w:numId w:val="1"/>
        </w:numPr>
        <w:tabs>
          <w:tab w:val="left" w:pos="980"/>
        </w:tabs>
        <w:kinsoku w:val="0"/>
        <w:overflowPunct w:val="0"/>
        <w:rPr>
          <w:rFonts w:ascii="Calibri" w:hAnsi="Calibri" w:cs="Calibri"/>
          <w:color w:val="333333"/>
          <w:spacing w:val="-2"/>
          <w:sz w:val="20"/>
          <w:szCs w:val="20"/>
        </w:rPr>
      </w:pPr>
      <w:r>
        <w:rPr>
          <w:rFonts w:ascii="Calibri" w:hAnsi="Calibri" w:cs="Calibri"/>
          <w:color w:val="333333"/>
          <w:spacing w:val="-2"/>
          <w:sz w:val="20"/>
          <w:szCs w:val="20"/>
        </w:rPr>
        <w:t>Interchangeable masks and chambers</w:t>
      </w:r>
      <w:r w:rsidR="00F74BAC">
        <w:rPr>
          <w:rFonts w:ascii="Calibri" w:hAnsi="Calibri" w:cs="Calibri"/>
          <w:color w:val="333333"/>
          <w:spacing w:val="-2"/>
          <w:sz w:val="20"/>
          <w:szCs w:val="20"/>
        </w:rPr>
        <w:t>.</w:t>
      </w:r>
    </w:p>
    <w:p w14:paraId="3DE16AE6" w14:textId="7A21D4B2" w:rsidR="006B6E0D" w:rsidRDefault="00CC09F4">
      <w:pPr>
        <w:pStyle w:val="ListParagraph"/>
        <w:numPr>
          <w:ilvl w:val="0"/>
          <w:numId w:val="1"/>
        </w:numPr>
        <w:tabs>
          <w:tab w:val="left" w:pos="980"/>
        </w:tabs>
        <w:kinsoku w:val="0"/>
        <w:overflowPunct w:val="0"/>
        <w:rPr>
          <w:rFonts w:ascii="Calibri" w:hAnsi="Calibri" w:cs="Calibri"/>
          <w:color w:val="000000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priming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required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before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use,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BPA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free,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 w:rsidR="00F31794">
        <w:rPr>
          <w:rFonts w:ascii="Calibri" w:hAnsi="Calibri" w:cs="Calibri"/>
          <w:sz w:val="20"/>
          <w:szCs w:val="20"/>
        </w:rPr>
        <w:t>dishwasher safe</w:t>
      </w:r>
      <w:r w:rsidR="004D50E1">
        <w:rPr>
          <w:rFonts w:ascii="Calibri" w:hAnsi="Calibri" w:cs="Calibri"/>
          <w:spacing w:val="-6"/>
          <w:sz w:val="20"/>
          <w:szCs w:val="20"/>
        </w:rPr>
        <w:t xml:space="preserve">, 1 year manufacturer guarantee. </w:t>
      </w:r>
    </w:p>
    <w:p w14:paraId="2E00376C" w14:textId="77777777" w:rsidR="00CC65BE" w:rsidRPr="00CC65BE" w:rsidRDefault="00CC65BE" w:rsidP="00CC65BE">
      <w:pPr>
        <w:pStyle w:val="ListParagraph"/>
        <w:numPr>
          <w:ilvl w:val="0"/>
          <w:numId w:val="1"/>
        </w:numPr>
        <w:tabs>
          <w:tab w:val="left" w:pos="980"/>
        </w:tabs>
        <w:kinsoku w:val="0"/>
        <w:overflowPunct w:val="0"/>
        <w:spacing w:before="1"/>
        <w:rPr>
          <w:rFonts w:ascii="Calibri" w:hAnsi="Calibri" w:cs="Calibri"/>
          <w:color w:val="000000"/>
          <w:spacing w:val="-2"/>
          <w:sz w:val="20"/>
          <w:szCs w:val="20"/>
        </w:rPr>
      </w:pPr>
      <w:r w:rsidRPr="00CC65BE">
        <w:rPr>
          <w:rFonts w:ascii="Calibri" w:hAnsi="Calibri" w:cs="Calibri"/>
          <w:sz w:val="20"/>
          <w:szCs w:val="20"/>
        </w:rPr>
        <w:t>Covered</w:t>
      </w:r>
      <w:r w:rsidRPr="00CC65BE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by</w:t>
      </w:r>
      <w:r w:rsidRPr="00CC65BE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98%</w:t>
      </w:r>
      <w:r w:rsidRPr="00CC65BE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of</w:t>
      </w:r>
      <w:r w:rsidRPr="00CC65BE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Commercial,</w:t>
      </w:r>
      <w:r w:rsidRPr="00CC65BE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Medicaid</w:t>
      </w:r>
      <w:r w:rsidRPr="00CC65BE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and</w:t>
      </w:r>
      <w:r w:rsidRPr="00CC65BE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Medicare</w:t>
      </w:r>
      <w:r w:rsidRPr="00CC65BE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with</w:t>
      </w:r>
      <w:r w:rsidRPr="00CC65BE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C65BE">
        <w:rPr>
          <w:rFonts w:ascii="Calibri" w:hAnsi="Calibri" w:cs="Calibri"/>
          <w:sz w:val="20"/>
          <w:szCs w:val="20"/>
        </w:rPr>
        <w:t>in-stock</w:t>
      </w:r>
      <w:r w:rsidRPr="00CC65BE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C65BE">
        <w:rPr>
          <w:rFonts w:ascii="Calibri" w:hAnsi="Calibri" w:cs="Calibri"/>
          <w:spacing w:val="-2"/>
          <w:sz w:val="20"/>
          <w:szCs w:val="20"/>
        </w:rPr>
        <w:t>availability.</w:t>
      </w:r>
    </w:p>
    <w:p w14:paraId="7C09F6B0" w14:textId="02A0A760" w:rsidR="00CC65BE" w:rsidRPr="00CC65BE" w:rsidRDefault="00CC65BE" w:rsidP="00CC65BE">
      <w:pPr>
        <w:pStyle w:val="ListParagraph"/>
        <w:widowControl/>
        <w:autoSpaceDE/>
        <w:autoSpaceDN/>
        <w:adjustRightInd/>
        <w:spacing w:before="100" w:beforeAutospacing="1" w:after="100" w:afterAutospacing="1" w:line="240" w:lineRule="auto"/>
        <w:ind w:left="360" w:firstLine="0"/>
        <w:rPr>
          <w:rFonts w:ascii="Calibri" w:hAnsi="Calibri" w:cs="Calibri"/>
          <w:sz w:val="20"/>
          <w:szCs w:val="20"/>
        </w:rPr>
      </w:pPr>
      <w:r w:rsidRPr="00CC65BE">
        <w:rPr>
          <w:rFonts w:ascii="Calibri" w:hAnsi="Calibri" w:cs="Calibri"/>
          <w:sz w:val="20"/>
          <w:szCs w:val="20"/>
        </w:rPr>
        <w:t>The respiratory product category spans across both the non-acute and acute space to include patients with COPD and/or asthma and is nondiscriminatory across all ages, sex, education levels and economics. A prescription is required, and clinical guidelines recommend use Globally. The MDI product line is utilized in both acute and nonacute spaces across DME, LTC, Skilled Nursing, IDN, and GPOs.</w:t>
      </w:r>
    </w:p>
    <w:p w14:paraId="0BCED139" w14:textId="77777777" w:rsidR="006B6E0D" w:rsidRDefault="006B6E0D">
      <w:pPr>
        <w:pStyle w:val="BodyText"/>
        <w:kinsoku w:val="0"/>
        <w:overflowPunct w:val="0"/>
        <w:spacing w:before="1"/>
        <w:rPr>
          <w:rFonts w:ascii="Calibri" w:hAnsi="Calibri" w:cs="Calibri"/>
          <w:sz w:val="20"/>
          <w:szCs w:val="20"/>
        </w:rPr>
      </w:pPr>
    </w:p>
    <w:p w14:paraId="2F3C1899" w14:textId="63B00C17" w:rsidR="00827D20" w:rsidRDefault="006C3BDF" w:rsidP="00823037">
      <w:pPr>
        <w:jc w:val="center"/>
        <w:rPr>
          <w:rFonts w:ascii="Calibri" w:hAnsi="Calibri" w:cs="Calibri"/>
          <w:sz w:val="20"/>
          <w:szCs w:val="20"/>
        </w:rPr>
      </w:pPr>
      <w:r>
        <w:pict w14:anchorId="419585E2">
          <v:shape id="_x0000_i1026" type="#_x0000_t75" style="width:477.75pt;height:285.75pt">
            <v:imagedata r:id="rId10" o:title=""/>
          </v:shape>
        </w:pict>
      </w:r>
    </w:p>
    <w:p w14:paraId="223C3435" w14:textId="080022AE" w:rsidR="00827024" w:rsidRDefault="00827024" w:rsidP="00823037">
      <w:pPr>
        <w:spacing w:before="100" w:beforeAutospacing="1" w:after="100" w:afterAutospacing="1"/>
        <w:ind w:left="36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Medical Developments International is a </w:t>
      </w:r>
      <w:r w:rsidR="00CC65BE"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</w:rPr>
        <w:t>lobal manufacturer penetrating the US Market and offers the following:</w:t>
      </w:r>
    </w:p>
    <w:p w14:paraId="34C25431" w14:textId="4FD28D00" w:rsidR="00CC65BE" w:rsidRPr="00F74BAC" w:rsidRDefault="001A722B" w:rsidP="0082303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Calibri" w:hAnsi="Calibri" w:cs="Calibri"/>
          <w:sz w:val="20"/>
          <w:szCs w:val="20"/>
        </w:rPr>
      </w:pPr>
      <w:r w:rsidRPr="00CC65BE">
        <w:rPr>
          <w:rFonts w:ascii="Calibri" w:hAnsi="Calibri" w:cs="Calibri"/>
          <w:sz w:val="20"/>
          <w:szCs w:val="20"/>
        </w:rPr>
        <w:t>McKesson 3PL consistent sourcing across the</w:t>
      </w:r>
      <w:r w:rsidR="00CC65BE" w:rsidRPr="00CC65BE">
        <w:rPr>
          <w:rFonts w:ascii="Calibri" w:hAnsi="Calibri" w:cs="Calibri"/>
          <w:sz w:val="20"/>
          <w:szCs w:val="20"/>
        </w:rPr>
        <w:t xml:space="preserve"> United States</w:t>
      </w:r>
      <w:r w:rsidR="00F74BAC">
        <w:rPr>
          <w:rFonts w:ascii="Calibri" w:hAnsi="Calibri" w:cs="Calibri"/>
          <w:sz w:val="20"/>
          <w:szCs w:val="20"/>
        </w:rPr>
        <w:t>.</w:t>
      </w:r>
    </w:p>
    <w:p w14:paraId="24981655" w14:textId="77777777" w:rsidR="00CC65BE" w:rsidRPr="00CC65BE" w:rsidRDefault="005B0BD6" w:rsidP="0082303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Calibri" w:hAnsi="Calibri" w:cs="Calibri"/>
          <w:sz w:val="20"/>
          <w:szCs w:val="20"/>
        </w:rPr>
      </w:pPr>
      <w:r w:rsidRPr="00CC65BE">
        <w:rPr>
          <w:rFonts w:ascii="Calibri" w:hAnsi="Calibri" w:cs="Calibri"/>
          <w:sz w:val="20"/>
          <w:szCs w:val="20"/>
        </w:rPr>
        <w:t>FDA 510K cleared.</w:t>
      </w:r>
    </w:p>
    <w:p w14:paraId="7C666A62" w14:textId="54E30733" w:rsidR="0026279E" w:rsidRPr="00CC65BE" w:rsidRDefault="00CC65BE" w:rsidP="0082303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Field and marketing</w:t>
      </w:r>
      <w:r w:rsidR="00F31794">
        <w:rPr>
          <w:rFonts w:ascii="Calibri" w:hAnsi="Calibri" w:cs="Calibri"/>
          <w:sz w:val="20"/>
          <w:szCs w:val="20"/>
        </w:rPr>
        <w:t xml:space="preserve"> support </w:t>
      </w:r>
      <w:r w:rsidR="00BC6A42">
        <w:rPr>
          <w:rFonts w:ascii="Calibri" w:hAnsi="Calibri" w:cs="Calibri"/>
          <w:sz w:val="20"/>
          <w:szCs w:val="20"/>
        </w:rPr>
        <w:t xml:space="preserve">to </w:t>
      </w:r>
      <w:r w:rsidR="0026279E">
        <w:rPr>
          <w:rFonts w:ascii="Calibri" w:hAnsi="Calibri" w:cs="Calibri"/>
          <w:sz w:val="20"/>
          <w:szCs w:val="20"/>
        </w:rPr>
        <w:t xml:space="preserve">align with </w:t>
      </w:r>
      <w:r w:rsidR="00BC6A42">
        <w:rPr>
          <w:rFonts w:ascii="Calibri" w:hAnsi="Calibri" w:cs="Calibri"/>
          <w:sz w:val="20"/>
          <w:szCs w:val="20"/>
        </w:rPr>
        <w:t>partner</w:t>
      </w:r>
      <w:r w:rsidR="0026279E">
        <w:rPr>
          <w:rFonts w:ascii="Calibri" w:hAnsi="Calibri" w:cs="Calibri"/>
          <w:sz w:val="20"/>
          <w:szCs w:val="20"/>
        </w:rPr>
        <w:t xml:space="preserve"> initiatives</w:t>
      </w:r>
      <w:r w:rsidR="00BC6A42">
        <w:rPr>
          <w:rFonts w:ascii="Calibri" w:hAnsi="Calibri" w:cs="Calibri"/>
          <w:sz w:val="20"/>
          <w:szCs w:val="20"/>
        </w:rPr>
        <w:t>.</w:t>
      </w:r>
    </w:p>
    <w:p w14:paraId="1BBD372A" w14:textId="40B81821" w:rsidR="00151A75" w:rsidRDefault="00F31794" w:rsidP="00823037">
      <w:pPr>
        <w:pStyle w:val="NormalWeb"/>
        <w:ind w:firstLine="720"/>
        <w:rPr>
          <w:sz w:val="20"/>
          <w:szCs w:val="20"/>
        </w:rPr>
      </w:pPr>
      <w:r>
        <w:rPr>
          <w:sz w:val="20"/>
          <w:szCs w:val="20"/>
        </w:rPr>
        <w:t>Contact:</w:t>
      </w:r>
      <w:r w:rsidR="00823037">
        <w:rPr>
          <w:sz w:val="20"/>
          <w:szCs w:val="20"/>
        </w:rPr>
        <w:t xml:space="preserve"> </w:t>
      </w:r>
      <w:r w:rsidR="00151A75">
        <w:rPr>
          <w:b/>
          <w:bCs/>
          <w:color w:val="333333"/>
          <w:sz w:val="20"/>
          <w:szCs w:val="20"/>
        </w:rPr>
        <w:t>Steph</w:t>
      </w:r>
      <w:r w:rsidR="00151A75">
        <w:rPr>
          <w:b/>
          <w:bCs/>
          <w:color w:val="333333"/>
          <w:spacing w:val="-8"/>
          <w:sz w:val="20"/>
          <w:szCs w:val="20"/>
        </w:rPr>
        <w:t xml:space="preserve"> </w:t>
      </w:r>
      <w:r w:rsidR="00151A75">
        <w:rPr>
          <w:b/>
          <w:bCs/>
          <w:color w:val="333333"/>
          <w:sz w:val="20"/>
          <w:szCs w:val="20"/>
        </w:rPr>
        <w:t>Hall</w:t>
      </w:r>
      <w:r w:rsidR="00151A75">
        <w:rPr>
          <w:b/>
          <w:bCs/>
          <w:color w:val="333333"/>
          <w:spacing w:val="61"/>
          <w:sz w:val="20"/>
          <w:szCs w:val="20"/>
        </w:rPr>
        <w:t xml:space="preserve"> </w:t>
      </w:r>
      <w:r w:rsidR="00151A75">
        <w:rPr>
          <w:color w:val="333333"/>
          <w:sz w:val="20"/>
          <w:szCs w:val="20"/>
        </w:rPr>
        <w:t>National Key Account Manager</w:t>
      </w:r>
      <w:r>
        <w:rPr>
          <w:color w:val="333333"/>
          <w:sz w:val="20"/>
          <w:szCs w:val="20"/>
        </w:rPr>
        <w:t xml:space="preserve"> Institutions</w:t>
      </w:r>
      <w:r w:rsidR="00823037">
        <w:rPr>
          <w:color w:val="333333"/>
          <w:sz w:val="20"/>
          <w:szCs w:val="20"/>
        </w:rPr>
        <w:t xml:space="preserve"> </w:t>
      </w:r>
      <w:hyperlink r:id="rId11" w:history="1">
        <w:r w:rsidR="00CC65BE">
          <w:rPr>
            <w:rStyle w:val="Hyperlink"/>
            <w:sz w:val="20"/>
            <w:szCs w:val="20"/>
          </w:rPr>
          <w:t>shall@medicaldev.com</w:t>
        </w:r>
      </w:hyperlink>
      <w:r w:rsidR="00151A75">
        <w:rPr>
          <w:spacing w:val="29"/>
          <w:sz w:val="20"/>
          <w:szCs w:val="20"/>
        </w:rPr>
        <w:t xml:space="preserve">  803-22</w:t>
      </w:r>
      <w:r w:rsidR="00BC6A42">
        <w:rPr>
          <w:spacing w:val="29"/>
          <w:sz w:val="20"/>
          <w:szCs w:val="20"/>
        </w:rPr>
        <w:t>0-6144</w:t>
      </w:r>
    </w:p>
    <w:p w14:paraId="270254FA" w14:textId="77777777" w:rsidR="00151A75" w:rsidRDefault="00151A75">
      <w:pPr>
        <w:pStyle w:val="BodyText"/>
        <w:kinsoku w:val="0"/>
        <w:overflowPunct w:val="0"/>
        <w:spacing w:before="4"/>
        <w:rPr>
          <w:rFonts w:ascii="Calibri" w:hAnsi="Calibri" w:cs="Calibri"/>
          <w:sz w:val="20"/>
          <w:szCs w:val="20"/>
        </w:rPr>
      </w:pPr>
    </w:p>
    <w:sectPr w:rsidR="00151A75" w:rsidSect="009F122C">
      <w:pgSz w:w="12240" w:h="15840"/>
      <w:pgMar w:top="576" w:right="245" w:bottom="245" w:left="28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980" w:hanging="360"/>
      </w:pPr>
      <w:rPr>
        <w:rFonts w:ascii="Symbol" w:hAnsi="Symbol" w:cs="Symbol"/>
        <w:spacing w:val="0"/>
        <w:w w:val="99"/>
      </w:rPr>
    </w:lvl>
    <w:lvl w:ilvl="1">
      <w:numFmt w:val="bullet"/>
      <w:lvlText w:val="•"/>
      <w:lvlJc w:val="left"/>
      <w:pPr>
        <w:ind w:left="2060" w:hanging="360"/>
      </w:pPr>
    </w:lvl>
    <w:lvl w:ilvl="2">
      <w:numFmt w:val="bullet"/>
      <w:lvlText w:val="•"/>
      <w:lvlJc w:val="left"/>
      <w:pPr>
        <w:ind w:left="3140" w:hanging="360"/>
      </w:pPr>
    </w:lvl>
    <w:lvl w:ilvl="3">
      <w:numFmt w:val="bullet"/>
      <w:lvlText w:val="•"/>
      <w:lvlJc w:val="left"/>
      <w:pPr>
        <w:ind w:left="4220" w:hanging="360"/>
      </w:pPr>
    </w:lvl>
    <w:lvl w:ilvl="4">
      <w:numFmt w:val="bullet"/>
      <w:lvlText w:val="•"/>
      <w:lvlJc w:val="left"/>
      <w:pPr>
        <w:ind w:left="5300" w:hanging="360"/>
      </w:pPr>
    </w:lvl>
    <w:lvl w:ilvl="5">
      <w:numFmt w:val="bullet"/>
      <w:lvlText w:val="•"/>
      <w:lvlJc w:val="left"/>
      <w:pPr>
        <w:ind w:left="6380" w:hanging="360"/>
      </w:pPr>
    </w:lvl>
    <w:lvl w:ilvl="6">
      <w:numFmt w:val="bullet"/>
      <w:lvlText w:val="•"/>
      <w:lvlJc w:val="left"/>
      <w:pPr>
        <w:ind w:left="7460" w:hanging="360"/>
      </w:pPr>
    </w:lvl>
    <w:lvl w:ilvl="7">
      <w:numFmt w:val="bullet"/>
      <w:lvlText w:val="•"/>
      <w:lvlJc w:val="left"/>
      <w:pPr>
        <w:ind w:left="8540" w:hanging="360"/>
      </w:pPr>
    </w:lvl>
    <w:lvl w:ilvl="8">
      <w:numFmt w:val="bullet"/>
      <w:lvlText w:val="•"/>
      <w:lvlJc w:val="left"/>
      <w:pPr>
        <w:ind w:left="9620" w:hanging="360"/>
      </w:pPr>
    </w:lvl>
  </w:abstractNum>
  <w:abstractNum w:abstractNumId="1" w15:restartNumberingAfterBreak="0">
    <w:nsid w:val="0C1A677C"/>
    <w:multiLevelType w:val="hybridMultilevel"/>
    <w:tmpl w:val="8B68B2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2A4F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A76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6243558">
    <w:abstractNumId w:val="0"/>
  </w:num>
  <w:num w:numId="2" w16cid:durableId="1159425379">
    <w:abstractNumId w:val="3"/>
  </w:num>
  <w:num w:numId="3" w16cid:durableId="343169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05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CBE"/>
    <w:rsid w:val="0008555D"/>
    <w:rsid w:val="000B01E5"/>
    <w:rsid w:val="00105400"/>
    <w:rsid w:val="00114DB2"/>
    <w:rsid w:val="00120472"/>
    <w:rsid w:val="00151A75"/>
    <w:rsid w:val="001664D8"/>
    <w:rsid w:val="001731E4"/>
    <w:rsid w:val="00185C08"/>
    <w:rsid w:val="001A722B"/>
    <w:rsid w:val="001D15EE"/>
    <w:rsid w:val="001F42E8"/>
    <w:rsid w:val="001F7737"/>
    <w:rsid w:val="002074D9"/>
    <w:rsid w:val="0026279E"/>
    <w:rsid w:val="00264711"/>
    <w:rsid w:val="002C71F6"/>
    <w:rsid w:val="003175BB"/>
    <w:rsid w:val="00340B53"/>
    <w:rsid w:val="0038323E"/>
    <w:rsid w:val="003C0509"/>
    <w:rsid w:val="003D161E"/>
    <w:rsid w:val="003D3507"/>
    <w:rsid w:val="004165F3"/>
    <w:rsid w:val="00483CA8"/>
    <w:rsid w:val="004A6D57"/>
    <w:rsid w:val="004D50E1"/>
    <w:rsid w:val="004E0CCA"/>
    <w:rsid w:val="004F3FBC"/>
    <w:rsid w:val="0050626B"/>
    <w:rsid w:val="00510FA3"/>
    <w:rsid w:val="005277AF"/>
    <w:rsid w:val="00551471"/>
    <w:rsid w:val="00564A66"/>
    <w:rsid w:val="005A1FC1"/>
    <w:rsid w:val="005B0BD6"/>
    <w:rsid w:val="005D0BD3"/>
    <w:rsid w:val="00616033"/>
    <w:rsid w:val="006B6E0D"/>
    <w:rsid w:val="006C3BDF"/>
    <w:rsid w:val="006C7165"/>
    <w:rsid w:val="006E53FB"/>
    <w:rsid w:val="00717AE3"/>
    <w:rsid w:val="00742521"/>
    <w:rsid w:val="00750698"/>
    <w:rsid w:val="00752411"/>
    <w:rsid w:val="00761BBB"/>
    <w:rsid w:val="007849AE"/>
    <w:rsid w:val="007E618B"/>
    <w:rsid w:val="00817812"/>
    <w:rsid w:val="00823037"/>
    <w:rsid w:val="00827024"/>
    <w:rsid w:val="00827D20"/>
    <w:rsid w:val="00836A37"/>
    <w:rsid w:val="00874699"/>
    <w:rsid w:val="008844EB"/>
    <w:rsid w:val="00885687"/>
    <w:rsid w:val="00886486"/>
    <w:rsid w:val="00893373"/>
    <w:rsid w:val="009223C4"/>
    <w:rsid w:val="00953334"/>
    <w:rsid w:val="009F122C"/>
    <w:rsid w:val="00A048F3"/>
    <w:rsid w:val="00A4527F"/>
    <w:rsid w:val="00A62B9A"/>
    <w:rsid w:val="00A73917"/>
    <w:rsid w:val="00A80DEE"/>
    <w:rsid w:val="00AB2E86"/>
    <w:rsid w:val="00B13AE3"/>
    <w:rsid w:val="00BC6A42"/>
    <w:rsid w:val="00BF1AC4"/>
    <w:rsid w:val="00C16930"/>
    <w:rsid w:val="00C71571"/>
    <w:rsid w:val="00C905AD"/>
    <w:rsid w:val="00C94824"/>
    <w:rsid w:val="00CB4916"/>
    <w:rsid w:val="00CB4AC5"/>
    <w:rsid w:val="00CB6793"/>
    <w:rsid w:val="00CC09F4"/>
    <w:rsid w:val="00CC65BE"/>
    <w:rsid w:val="00CD6459"/>
    <w:rsid w:val="00CD65CA"/>
    <w:rsid w:val="00CD7800"/>
    <w:rsid w:val="00D146E7"/>
    <w:rsid w:val="00D47204"/>
    <w:rsid w:val="00D741BE"/>
    <w:rsid w:val="00D743E6"/>
    <w:rsid w:val="00DA33AD"/>
    <w:rsid w:val="00DA3A07"/>
    <w:rsid w:val="00DB2B01"/>
    <w:rsid w:val="00DC0658"/>
    <w:rsid w:val="00DF7AE8"/>
    <w:rsid w:val="00E45CE0"/>
    <w:rsid w:val="00E70AF4"/>
    <w:rsid w:val="00EA2A7E"/>
    <w:rsid w:val="00EE3ECF"/>
    <w:rsid w:val="00F27E81"/>
    <w:rsid w:val="00F31794"/>
    <w:rsid w:val="00F52BDF"/>
    <w:rsid w:val="00F70893"/>
    <w:rsid w:val="00F74BAC"/>
    <w:rsid w:val="00F835F0"/>
    <w:rsid w:val="00FB7CBE"/>
    <w:rsid w:val="00FE574C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  <w14:docId w14:val="56FE0330"/>
  <w14:defaultImageDpi w14:val="96"/>
  <w15:docId w15:val="{3C136C7F-9242-4BCA-90D3-35B16C72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7"/>
      <w:ind w:left="2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Arial Narrow" w:hAnsi="Arial Narrow" w:cs="Arial Narrow"/>
      <w:kern w:val="0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60"/>
    </w:pPr>
    <w:rPr>
      <w:b/>
      <w:bCs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line="252" w:lineRule="exact"/>
      <w:ind w:left="9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  <w:rPr>
      <w:sz w:val="24"/>
      <w:szCs w:val="24"/>
    </w:rPr>
  </w:style>
  <w:style w:type="character" w:styleId="Hyperlink">
    <w:name w:val="Hyperlink"/>
    <w:uiPriority w:val="99"/>
    <w:unhideWhenUsed/>
    <w:rsid w:val="00FB7CB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B7CBE"/>
    <w:rPr>
      <w:color w:val="954F72"/>
      <w:u w:val="single"/>
    </w:rPr>
  </w:style>
  <w:style w:type="table" w:styleId="TableGrid">
    <w:name w:val="Table Grid"/>
    <w:basedOn w:val="TableNormal"/>
    <w:uiPriority w:val="39"/>
    <w:rsid w:val="00F5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062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1A75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hall@medicaldev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://www.space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Hall</dc:creator>
  <cp:keywords/>
  <dc:description/>
  <cp:lastModifiedBy>Steph Hall</cp:lastModifiedBy>
  <cp:revision>2</cp:revision>
  <dcterms:created xsi:type="dcterms:W3CDTF">2023-12-14T14:07:00Z</dcterms:created>
  <dcterms:modified xsi:type="dcterms:W3CDTF">2023-12-14T14:07:00Z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