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67E8" w14:textId="78FE483C" w:rsidR="008C5CFB" w:rsidRDefault="008C5CFB" w:rsidP="00AA0F27">
      <w:pPr>
        <w:spacing w:after="0"/>
      </w:pPr>
      <w:bookmarkStart w:id="0" w:name="_Hlk168894288"/>
      <w:bookmarkEnd w:id="0"/>
    </w:p>
    <w:p w14:paraId="4E261836" w14:textId="752F67A1" w:rsidR="00DE6B13" w:rsidRPr="00516990" w:rsidRDefault="00DE6B13" w:rsidP="00AA0F27">
      <w:pPr>
        <w:spacing w:after="0"/>
        <w:rPr>
          <w:b/>
          <w:bCs/>
          <w:color w:val="FF0000"/>
        </w:rPr>
      </w:pPr>
    </w:p>
    <w:p w14:paraId="733D26DC" w14:textId="09345232" w:rsidR="00DE6B13" w:rsidRPr="00D4593A" w:rsidRDefault="005843EB" w:rsidP="00AA0F27">
      <w:pPr>
        <w:spacing w:after="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D80F21">
        <w:rPr>
          <w:sz w:val="24"/>
          <w:szCs w:val="24"/>
        </w:rPr>
        <w:t xml:space="preserve"> 1, </w:t>
      </w:r>
      <w:r w:rsidR="00DE6B13" w:rsidRPr="00D4593A">
        <w:rPr>
          <w:sz w:val="24"/>
          <w:szCs w:val="24"/>
        </w:rPr>
        <w:t>202</w:t>
      </w:r>
      <w:r w:rsidR="00D80F21">
        <w:rPr>
          <w:sz w:val="24"/>
          <w:szCs w:val="24"/>
        </w:rPr>
        <w:t>4</w:t>
      </w:r>
    </w:p>
    <w:p w14:paraId="550CE714" w14:textId="77777777" w:rsidR="00DE6B13" w:rsidRDefault="00DE6B13" w:rsidP="00977DA6">
      <w:pPr>
        <w:pStyle w:val="Default"/>
        <w:rPr>
          <w:rFonts w:asciiTheme="minorHAnsi" w:hAnsiTheme="minorHAnsi" w:cstheme="minorHAnsi"/>
        </w:rPr>
      </w:pPr>
    </w:p>
    <w:p w14:paraId="597D0787" w14:textId="1E2B98EB" w:rsidR="00977DA6" w:rsidRDefault="00977DA6" w:rsidP="00977DA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Dear Valued </w:t>
      </w:r>
      <w:r w:rsidR="00930A68">
        <w:rPr>
          <w:rFonts w:asciiTheme="minorHAnsi" w:hAnsiTheme="minorHAnsi" w:cstheme="minorHAnsi"/>
        </w:rPr>
        <w:t>Distributor</w:t>
      </w:r>
      <w:r w:rsidR="00795391">
        <w:rPr>
          <w:rFonts w:asciiTheme="minorHAnsi" w:hAnsiTheme="minorHAnsi" w:cstheme="minorHAnsi"/>
        </w:rPr>
        <w:t>:</w:t>
      </w:r>
    </w:p>
    <w:p w14:paraId="2A15EC0D" w14:textId="77777777" w:rsidR="00977DA6" w:rsidRDefault="00977DA6" w:rsidP="00977DA6">
      <w:pPr>
        <w:pStyle w:val="Default"/>
        <w:rPr>
          <w:rFonts w:asciiTheme="minorHAnsi" w:hAnsiTheme="minorHAnsi" w:cstheme="minorHAnsi"/>
        </w:rPr>
      </w:pPr>
    </w:p>
    <w:p w14:paraId="61A5033F" w14:textId="60F1CDD0" w:rsidR="00000033" w:rsidRPr="00DC6A0F" w:rsidRDefault="00D80F21" w:rsidP="00BC56E4">
      <w:pPr>
        <w:rPr>
          <w:rFonts w:cstheme="minorHAnsi"/>
        </w:rPr>
      </w:pPr>
      <w:r w:rsidRPr="00DC6A0F">
        <w:rPr>
          <w:rFonts w:cstheme="minorHAnsi"/>
        </w:rPr>
        <w:t>We are excited to announce</w:t>
      </w:r>
      <w:r w:rsidR="00CD5EA4" w:rsidRPr="00DC6A0F">
        <w:rPr>
          <w:rFonts w:cstheme="minorHAnsi"/>
        </w:rPr>
        <w:t xml:space="preserve"> great news! </w:t>
      </w:r>
      <w:r w:rsidR="0007076B" w:rsidRPr="00DC6A0F">
        <w:rPr>
          <w:rFonts w:cstheme="minorHAnsi"/>
        </w:rPr>
        <w:t xml:space="preserve">In </w:t>
      </w:r>
      <w:r w:rsidR="009B0DBA" w:rsidRPr="00DC6A0F">
        <w:rPr>
          <w:rFonts w:cstheme="minorHAnsi"/>
        </w:rPr>
        <w:t>November</w:t>
      </w:r>
      <w:r w:rsidR="0007076B" w:rsidRPr="00DC6A0F">
        <w:rPr>
          <w:rFonts w:cstheme="minorHAnsi"/>
        </w:rPr>
        <w:t xml:space="preserve"> 2024, </w:t>
      </w:r>
      <w:r w:rsidRPr="00DC6A0F">
        <w:rPr>
          <w:rFonts w:cstheme="minorHAnsi"/>
        </w:rPr>
        <w:t xml:space="preserve">Vivonex® Pediatric </w:t>
      </w:r>
      <w:r w:rsidR="00557F23" w:rsidRPr="00DC6A0F">
        <w:rPr>
          <w:rFonts w:cstheme="minorHAnsi"/>
        </w:rPr>
        <w:t>E</w:t>
      </w:r>
      <w:r w:rsidR="00B25C60" w:rsidRPr="00DC6A0F">
        <w:rPr>
          <w:rFonts w:cstheme="minorHAnsi"/>
        </w:rPr>
        <w:t xml:space="preserve">lemental </w:t>
      </w:r>
      <w:r w:rsidR="00557F23" w:rsidRPr="00DC6A0F">
        <w:rPr>
          <w:rFonts w:cstheme="minorHAnsi"/>
        </w:rPr>
        <w:t>P</w:t>
      </w:r>
      <w:r w:rsidR="00B25C60" w:rsidRPr="00DC6A0F">
        <w:rPr>
          <w:rFonts w:cstheme="minorHAnsi"/>
        </w:rPr>
        <w:t>owder</w:t>
      </w:r>
      <w:r w:rsidR="00CD5EA4" w:rsidRPr="00DC6A0F">
        <w:rPr>
          <w:rFonts w:cstheme="minorHAnsi"/>
        </w:rPr>
        <w:t xml:space="preserve"> is being relaunched </w:t>
      </w:r>
      <w:r w:rsidR="00CD5EA4" w:rsidRPr="00DC6A0F">
        <w:rPr>
          <w:rFonts w:cstheme="minorHAnsi"/>
          <w:color w:val="000000"/>
        </w:rPr>
        <w:t xml:space="preserve">in a new </w:t>
      </w:r>
      <w:r w:rsidR="00074110" w:rsidRPr="00DC6A0F">
        <w:rPr>
          <w:rFonts w:cstheme="minorHAnsi"/>
          <w:color w:val="000000"/>
        </w:rPr>
        <w:t xml:space="preserve">and improved multi-serving </w:t>
      </w:r>
      <w:r w:rsidR="00CD5EA4" w:rsidRPr="00DC6A0F">
        <w:rPr>
          <w:rFonts w:cstheme="minorHAnsi"/>
        </w:rPr>
        <w:t>canister with an easy-to-store scoop.</w:t>
      </w:r>
      <w:r w:rsidR="000A3155" w:rsidRPr="00DC6A0F">
        <w:rPr>
          <w:rFonts w:cstheme="minorHAnsi"/>
        </w:rPr>
        <w:t xml:space="preserve"> </w:t>
      </w:r>
      <w:r w:rsidR="001938E4" w:rsidRPr="00DC6A0F">
        <w:rPr>
          <w:rFonts w:cstheme="minorHAnsi"/>
        </w:rPr>
        <w:t xml:space="preserve">Changing from the single-serve packets to the new </w:t>
      </w:r>
      <w:r w:rsidR="00EE73DE" w:rsidRPr="00DC6A0F">
        <w:rPr>
          <w:rFonts w:cstheme="minorHAnsi"/>
        </w:rPr>
        <w:t xml:space="preserve">multi-serving </w:t>
      </w:r>
      <w:r w:rsidR="001938E4" w:rsidRPr="00DC6A0F">
        <w:rPr>
          <w:rFonts w:cstheme="minorHAnsi"/>
        </w:rPr>
        <w:t>canister not only</w:t>
      </w:r>
      <w:r w:rsidR="00FA1F97" w:rsidRPr="00DC6A0F">
        <w:rPr>
          <w:rFonts w:cstheme="minorHAnsi"/>
        </w:rPr>
        <w:t xml:space="preserve"> reduces paper and cardboard waste, but it also </w:t>
      </w:r>
      <w:r w:rsidR="007029FC" w:rsidRPr="00DC6A0F">
        <w:rPr>
          <w:rFonts w:cstheme="minorHAnsi"/>
        </w:rPr>
        <w:t>supports our ongoing efforts to improve the availability of product</w:t>
      </w:r>
      <w:r w:rsidR="004D6496" w:rsidRPr="00DC6A0F">
        <w:rPr>
          <w:rFonts w:cstheme="minorHAnsi"/>
        </w:rPr>
        <w:t>s by optimizing our manufacturing capabilities.</w:t>
      </w:r>
      <w:r w:rsidR="009509D4" w:rsidRPr="00DC6A0F">
        <w:rPr>
          <w:rFonts w:cstheme="minorHAnsi"/>
        </w:rPr>
        <w:t xml:space="preserve"> Plus, at least 6</w:t>
      </w:r>
      <w:r w:rsidR="00ED7B94" w:rsidRPr="00DC6A0F">
        <w:rPr>
          <w:rFonts w:cstheme="minorHAnsi"/>
        </w:rPr>
        <w:t>8</w:t>
      </w:r>
      <w:r w:rsidR="009509D4" w:rsidRPr="00DC6A0F">
        <w:rPr>
          <w:rFonts w:cstheme="minorHAnsi"/>
        </w:rPr>
        <w:t xml:space="preserve">% of the plastic </w:t>
      </w:r>
      <w:r w:rsidR="007570C7" w:rsidRPr="00DC6A0F">
        <w:rPr>
          <w:rFonts w:cstheme="minorHAnsi"/>
        </w:rPr>
        <w:t xml:space="preserve">in the </w:t>
      </w:r>
      <w:r w:rsidR="00BC56E4" w:rsidRPr="00DC6A0F">
        <w:rPr>
          <w:rFonts w:cstheme="minorHAnsi"/>
        </w:rPr>
        <w:t xml:space="preserve">lid and </w:t>
      </w:r>
      <w:r w:rsidR="007570C7" w:rsidRPr="00DC6A0F">
        <w:rPr>
          <w:rFonts w:cstheme="minorHAnsi"/>
        </w:rPr>
        <w:t xml:space="preserve">scoop </w:t>
      </w:r>
      <w:r w:rsidR="00BC56E4" w:rsidRPr="00DC6A0F">
        <w:rPr>
          <w:rFonts w:cstheme="minorHAnsi"/>
        </w:rPr>
        <w:t xml:space="preserve">are produced from sugar cane, a renewable resource. </w:t>
      </w:r>
    </w:p>
    <w:p w14:paraId="00DDB661" w14:textId="120C3F3A" w:rsidR="00000033" w:rsidRPr="00DC6A0F" w:rsidRDefault="00000033" w:rsidP="00C21EC8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  <w:r w:rsidRPr="00DC6A0F">
        <w:rPr>
          <w:rFonts w:asciiTheme="minorHAnsi" w:eastAsia="Times New Roman" w:hAnsiTheme="minorHAnsi" w:cstheme="minorHAnsi"/>
          <w:sz w:val="22"/>
          <w:szCs w:val="22"/>
        </w:rPr>
        <w:t xml:space="preserve">In addition, </w:t>
      </w:r>
      <w:r w:rsidR="00960258" w:rsidRPr="00DC6A0F">
        <w:rPr>
          <w:rFonts w:asciiTheme="minorHAnsi" w:eastAsia="Times New Roman" w:hAnsiTheme="minorHAnsi" w:cstheme="minorHAnsi"/>
          <w:sz w:val="22"/>
          <w:szCs w:val="22"/>
        </w:rPr>
        <w:t xml:space="preserve">we have also improved the </w:t>
      </w:r>
      <w:r w:rsidR="00FA1F97" w:rsidRPr="00DC6A0F">
        <w:rPr>
          <w:rFonts w:asciiTheme="minorHAnsi" w:eastAsia="Times New Roman" w:hAnsiTheme="minorHAnsi" w:cstheme="minorHAnsi"/>
          <w:sz w:val="22"/>
          <w:szCs w:val="22"/>
        </w:rPr>
        <w:t>Vivonex</w:t>
      </w:r>
      <w:r w:rsidR="00960258" w:rsidRPr="00DC6A0F">
        <w:rPr>
          <w:rFonts w:asciiTheme="minorHAnsi" w:eastAsia="Times New Roman" w:hAnsiTheme="minorHAnsi" w:cstheme="minorHAnsi"/>
          <w:sz w:val="22"/>
          <w:szCs w:val="22"/>
        </w:rPr>
        <w:t>®</w:t>
      </w:r>
      <w:r w:rsidR="00FA1F97" w:rsidRPr="00DC6A0F">
        <w:rPr>
          <w:rFonts w:asciiTheme="minorHAnsi" w:eastAsia="Times New Roman" w:hAnsiTheme="minorHAnsi" w:cstheme="minorHAnsi"/>
          <w:sz w:val="22"/>
          <w:szCs w:val="22"/>
        </w:rPr>
        <w:t xml:space="preserve"> Pediatric </w:t>
      </w:r>
      <w:r w:rsidR="00557F23" w:rsidRPr="00DC6A0F">
        <w:rPr>
          <w:rFonts w:asciiTheme="minorHAnsi" w:eastAsia="Times New Roman" w:hAnsiTheme="minorHAnsi" w:cstheme="minorHAnsi"/>
          <w:sz w:val="22"/>
          <w:szCs w:val="22"/>
        </w:rPr>
        <w:t>Elemental Powder</w:t>
      </w:r>
      <w:r w:rsidR="007D21FF" w:rsidRPr="00DC6A0F">
        <w:rPr>
          <w:rFonts w:asciiTheme="minorHAnsi" w:eastAsia="Times New Roman" w:hAnsiTheme="minorHAnsi" w:cstheme="minorHAnsi"/>
          <w:sz w:val="22"/>
          <w:szCs w:val="22"/>
        </w:rPr>
        <w:t>, and here are some highlights:</w:t>
      </w:r>
    </w:p>
    <w:p w14:paraId="33AF029B" w14:textId="47131E2B" w:rsidR="00A93582" w:rsidRPr="00DC6A0F" w:rsidRDefault="00A93582" w:rsidP="00B25C60">
      <w:pPr>
        <w:pStyle w:val="ListParagraph"/>
        <w:numPr>
          <w:ilvl w:val="0"/>
          <w:numId w:val="6"/>
        </w:numPr>
        <w:rPr>
          <w:rFonts w:cstheme="minorHAnsi"/>
        </w:rPr>
      </w:pPr>
      <w:r w:rsidRPr="00DC6A0F">
        <w:rPr>
          <w:rFonts w:cstheme="minorHAnsi"/>
          <w:b/>
          <w:i/>
          <w:color w:val="000000"/>
        </w:rPr>
        <w:t>Now</w:t>
      </w:r>
      <w:r w:rsidRPr="00DC6A0F">
        <w:rPr>
          <w:rFonts w:cstheme="minorHAnsi"/>
          <w:color w:val="000000"/>
        </w:rPr>
        <w:t xml:space="preserve"> also indicated for Chylous Ascites and Chylothorax</w:t>
      </w:r>
    </w:p>
    <w:p w14:paraId="18B99FCA" w14:textId="0EEFCCA1" w:rsidR="00C63F27" w:rsidRPr="00DC6A0F" w:rsidRDefault="00C63F27" w:rsidP="00C41833">
      <w:pPr>
        <w:pStyle w:val="ListParagraph"/>
        <w:numPr>
          <w:ilvl w:val="0"/>
          <w:numId w:val="6"/>
        </w:numPr>
        <w:rPr>
          <w:rFonts w:cstheme="minorHAnsi"/>
        </w:rPr>
      </w:pPr>
      <w:r w:rsidRPr="00DC6A0F">
        <w:rPr>
          <w:rFonts w:cstheme="minorHAnsi"/>
          <w:b/>
          <w:i/>
          <w:color w:val="000000"/>
        </w:rPr>
        <w:t>Now</w:t>
      </w:r>
      <w:r w:rsidRPr="00DC6A0F">
        <w:rPr>
          <w:rFonts w:cstheme="minorHAnsi"/>
          <w:color w:val="000000"/>
        </w:rPr>
        <w:t xml:space="preserve"> hypoallergenic</w:t>
      </w:r>
    </w:p>
    <w:p w14:paraId="59A51499" w14:textId="14857412" w:rsidR="00705CA1" w:rsidRPr="00DC6A0F" w:rsidRDefault="00705CA1" w:rsidP="00C41833">
      <w:pPr>
        <w:pStyle w:val="ListParagraph"/>
        <w:numPr>
          <w:ilvl w:val="0"/>
          <w:numId w:val="6"/>
        </w:numPr>
        <w:rPr>
          <w:rFonts w:cstheme="minorHAnsi"/>
        </w:rPr>
      </w:pPr>
      <w:r w:rsidRPr="00DC6A0F">
        <w:rPr>
          <w:rFonts w:cstheme="minorHAnsi"/>
          <w:b/>
          <w:i/>
          <w:color w:val="000000"/>
        </w:rPr>
        <w:t xml:space="preserve">Now </w:t>
      </w:r>
      <w:r w:rsidRPr="00DC6A0F">
        <w:rPr>
          <w:rFonts w:cstheme="minorHAnsi"/>
          <w:bCs/>
          <w:iCs/>
          <w:color w:val="000000"/>
        </w:rPr>
        <w:t>certified Halal</w:t>
      </w:r>
    </w:p>
    <w:p w14:paraId="0D40817D" w14:textId="77777777" w:rsidR="008B6028" w:rsidRDefault="008B6028" w:rsidP="006D57FC">
      <w:pPr>
        <w:pStyle w:val="Default"/>
        <w:rPr>
          <w:rFonts w:asciiTheme="minorHAnsi" w:eastAsia="Times New Roman" w:hAnsiTheme="minorHAnsi" w:cstheme="minorHAnsi"/>
        </w:rPr>
      </w:pPr>
    </w:p>
    <w:tbl>
      <w:tblPr>
        <w:tblStyle w:val="TableGrid"/>
        <w:tblW w:w="10570" w:type="dxa"/>
        <w:jc w:val="center"/>
        <w:tblLook w:val="04A0" w:firstRow="1" w:lastRow="0" w:firstColumn="1" w:lastColumn="0" w:noHBand="0" w:noVBand="1"/>
      </w:tblPr>
      <w:tblGrid>
        <w:gridCol w:w="1977"/>
        <w:gridCol w:w="1311"/>
        <w:gridCol w:w="1620"/>
        <w:gridCol w:w="1644"/>
        <w:gridCol w:w="1329"/>
        <w:gridCol w:w="1771"/>
        <w:gridCol w:w="918"/>
      </w:tblGrid>
      <w:tr w:rsidR="00954FAA" w:rsidRPr="00AB3CDC" w14:paraId="6F4DE32B" w14:textId="77777777" w:rsidTr="004C0BD6">
        <w:trPr>
          <w:trHeight w:val="705"/>
          <w:jc w:val="center"/>
        </w:trPr>
        <w:tc>
          <w:tcPr>
            <w:tcW w:w="2065" w:type="dxa"/>
            <w:shd w:val="clear" w:color="auto" w:fill="E7E6E6" w:themeFill="background2"/>
            <w:vAlign w:val="center"/>
          </w:tcPr>
          <w:p w14:paraId="6378940F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Discontinued</w:t>
            </w:r>
          </w:p>
          <w:p w14:paraId="23D4EBE7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Product Description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14:paraId="3A6AB856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B3CDC">
              <w:rPr>
                <w:rFonts w:asciiTheme="minorHAnsi" w:hAnsiTheme="minorHAnsi" w:cstheme="minorBidi"/>
                <w:b/>
                <w:bCs/>
              </w:rPr>
              <w:t>Discontinued Product Code</w:t>
            </w:r>
          </w:p>
        </w:tc>
        <w:tc>
          <w:tcPr>
            <w:tcW w:w="1636" w:type="dxa"/>
            <w:shd w:val="clear" w:color="auto" w:fill="E7E6E6" w:themeFill="background2"/>
            <w:vAlign w:val="center"/>
          </w:tcPr>
          <w:p w14:paraId="2B2E96A8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Discontinued</w:t>
            </w:r>
          </w:p>
          <w:p w14:paraId="35567596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Case UPC/GTIN Code</w:t>
            </w:r>
          </w:p>
        </w:tc>
        <w:tc>
          <w:tcPr>
            <w:tcW w:w="1688" w:type="dxa"/>
            <w:shd w:val="clear" w:color="auto" w:fill="E7E6E6" w:themeFill="background2"/>
          </w:tcPr>
          <w:p w14:paraId="34202145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A92297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 xml:space="preserve">New Replacement </w:t>
            </w:r>
          </w:p>
          <w:p w14:paraId="26A0E27C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Product Description</w:t>
            </w:r>
          </w:p>
        </w:tc>
        <w:tc>
          <w:tcPr>
            <w:tcW w:w="1332" w:type="dxa"/>
            <w:shd w:val="clear" w:color="auto" w:fill="E7E6E6" w:themeFill="background2"/>
          </w:tcPr>
          <w:p w14:paraId="03A433C7" w14:textId="77777777" w:rsidR="000A590A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51D6A8B" w14:textId="65EE579E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New Replacement</w:t>
            </w:r>
          </w:p>
          <w:p w14:paraId="548D1283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Product Code</w:t>
            </w:r>
          </w:p>
        </w:tc>
        <w:tc>
          <w:tcPr>
            <w:tcW w:w="1807" w:type="dxa"/>
            <w:shd w:val="clear" w:color="auto" w:fill="E7E6E6" w:themeFill="background2"/>
          </w:tcPr>
          <w:p w14:paraId="430C1863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105DEA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New Replacement</w:t>
            </w:r>
          </w:p>
          <w:p w14:paraId="08EFAC95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Case UPC/GTIN Code</w:t>
            </w:r>
          </w:p>
        </w:tc>
        <w:tc>
          <w:tcPr>
            <w:tcW w:w="930" w:type="dxa"/>
            <w:shd w:val="clear" w:color="auto" w:fill="E7E6E6" w:themeFill="background2"/>
          </w:tcPr>
          <w:p w14:paraId="6CCC083D" w14:textId="77777777" w:rsidR="006F4A86" w:rsidRDefault="006F4A86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BC8A0C" w14:textId="42059FB0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>Est.</w:t>
            </w:r>
          </w:p>
          <w:p w14:paraId="7508D7DB" w14:textId="77777777" w:rsidR="00954FAA" w:rsidRPr="00AB3CDC" w:rsidRDefault="00954FAA" w:rsidP="00A651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3CDC">
              <w:rPr>
                <w:rFonts w:asciiTheme="minorHAnsi" w:hAnsiTheme="minorHAnsi" w:cstheme="minorHAnsi"/>
                <w:b/>
                <w:bCs/>
              </w:rPr>
              <w:t xml:space="preserve"> In-Market Date</w:t>
            </w:r>
          </w:p>
        </w:tc>
      </w:tr>
      <w:tr w:rsidR="00954FAA" w:rsidRPr="00AB3CDC" w14:paraId="7186E520" w14:textId="77777777" w:rsidTr="00B90648">
        <w:trPr>
          <w:trHeight w:val="314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A10D725" w14:textId="55C6C4BE" w:rsidR="00954FAA" w:rsidRPr="00B90648" w:rsidRDefault="00954FAA" w:rsidP="008B60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0648">
              <w:rPr>
                <w:rFonts w:asciiTheme="minorHAnsi" w:hAnsiTheme="minorHAnsi" w:cstheme="minorHAnsi"/>
                <w:sz w:val="18"/>
                <w:szCs w:val="18"/>
              </w:rPr>
              <w:t xml:space="preserve">VIVONEX® PEDIATRIC Unflavored </w:t>
            </w:r>
            <w:r w:rsidR="00CD5EA4" w:rsidRPr="00B90648">
              <w:rPr>
                <w:rFonts w:asciiTheme="minorHAnsi" w:hAnsiTheme="minorHAnsi" w:cstheme="minorHAnsi"/>
                <w:sz w:val="18"/>
                <w:szCs w:val="18"/>
              </w:rPr>
              <w:t>Powder</w:t>
            </w:r>
            <w:r w:rsidR="00CD5EA4" w:rsidRPr="00B9064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90648">
              <w:rPr>
                <w:rFonts w:asciiTheme="minorHAnsi" w:hAnsiTheme="minorHAnsi" w:cstheme="minorHAnsi"/>
                <w:sz w:val="18"/>
                <w:szCs w:val="18"/>
              </w:rPr>
              <w:t>36 x 1.7 oz packets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31A56EC" w14:textId="5763ADBA" w:rsidR="00954FAA" w:rsidRPr="00B90648" w:rsidRDefault="00954FAA" w:rsidP="008B6028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00B90648">
              <w:rPr>
                <w:rFonts w:asciiTheme="minorHAnsi" w:hAnsiTheme="minorHAnsi" w:cstheme="minorBidi"/>
                <w:sz w:val="18"/>
                <w:szCs w:val="18"/>
              </w:rPr>
              <w:t>07131000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4856337" w14:textId="6881F0ED" w:rsidR="00954FAA" w:rsidRPr="00B90648" w:rsidRDefault="00954FAA" w:rsidP="008B60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0648">
              <w:rPr>
                <w:rFonts w:asciiTheme="minorHAnsi" w:hAnsiTheme="minorHAnsi" w:cstheme="minorHAnsi"/>
                <w:sz w:val="18"/>
                <w:szCs w:val="18"/>
              </w:rPr>
              <w:t>10043900713103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8B50D27" w14:textId="1DADB674" w:rsidR="00954FAA" w:rsidRPr="00B90648" w:rsidRDefault="00954FAA" w:rsidP="008B60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906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VIVONEX® PEDIATRIC, Unflavored Powder </w:t>
            </w:r>
            <w:r w:rsidR="00CD5EA4" w:rsidRPr="00B906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br/>
            </w:r>
            <w:r w:rsidRPr="00B906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6 x 400 g canisters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4C67DAB" w14:textId="76FE6E33" w:rsidR="00954FAA" w:rsidRPr="00B90648" w:rsidRDefault="00954FAA" w:rsidP="00B90648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B90648">
              <w:rPr>
                <w:rFonts w:asciiTheme="minorHAnsi" w:hAnsiTheme="minorHAnsi" w:cstheme="minorBidi"/>
                <w:sz w:val="18"/>
                <w:szCs w:val="18"/>
              </w:rPr>
              <w:t>8445291507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DCFBD32" w14:textId="599F8CA0" w:rsidR="00954FAA" w:rsidRPr="00B90648" w:rsidRDefault="00F62117" w:rsidP="008B6028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="00954FAA" w:rsidRPr="00B90648">
              <w:rPr>
                <w:rFonts w:asciiTheme="minorHAnsi" w:hAnsiTheme="minorHAnsi" w:cstheme="minorBidi"/>
                <w:sz w:val="18"/>
                <w:szCs w:val="18"/>
              </w:rPr>
              <w:t>8445291507654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59A0A38" w14:textId="468E2547" w:rsidR="00954FAA" w:rsidRPr="00B90648" w:rsidRDefault="005843EB" w:rsidP="008B6028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Dec.</w:t>
            </w:r>
            <w:r w:rsidR="00CD5EA4" w:rsidRPr="00B90648">
              <w:rPr>
                <w:rFonts w:asciiTheme="minorHAnsi" w:hAnsiTheme="minorHAnsi" w:cstheme="minorBidi"/>
                <w:sz w:val="18"/>
                <w:szCs w:val="18"/>
              </w:rPr>
              <w:t xml:space="preserve"> 2024</w:t>
            </w:r>
          </w:p>
        </w:tc>
      </w:tr>
    </w:tbl>
    <w:p w14:paraId="584BE54A" w14:textId="38E1DC82" w:rsidR="000A5F7E" w:rsidRDefault="000A5F7E" w:rsidP="00AA0F27">
      <w:pPr>
        <w:spacing w:after="0"/>
        <w:rPr>
          <w:b/>
          <w:bCs/>
          <w:sz w:val="20"/>
          <w:szCs w:val="20"/>
        </w:rPr>
      </w:pPr>
    </w:p>
    <w:p w14:paraId="1D1139C4" w14:textId="6CEAEA3E" w:rsidR="008B6028" w:rsidRDefault="008B6028" w:rsidP="007B3B2D">
      <w:pPr>
        <w:rPr>
          <w:b/>
          <w:bCs/>
          <w:sz w:val="20"/>
          <w:szCs w:val="20"/>
        </w:rPr>
      </w:pPr>
    </w:p>
    <w:p w14:paraId="4B84657F" w14:textId="77777777" w:rsidR="00CC77B2" w:rsidRPr="00DC6A0F" w:rsidRDefault="00CC77B2" w:rsidP="00CC77B2">
      <w:pPr>
        <w:jc w:val="both"/>
        <w:rPr>
          <w:rFonts w:ascii="Calibri" w:hAnsi="Calibri" w:cs="Calibri"/>
          <w:b/>
        </w:rPr>
      </w:pPr>
      <w:r w:rsidRPr="00DC6A0F">
        <w:rPr>
          <w:rFonts w:ascii="Calibri" w:hAnsi="Calibri" w:cs="Calibri"/>
          <w:b/>
        </w:rPr>
        <w:t>Distributor Price List – Acquisition Cost</w:t>
      </w:r>
    </w:p>
    <w:p w14:paraId="31369E97" w14:textId="17FDD14A" w:rsidR="00CC77B2" w:rsidRPr="00DC6A0F" w:rsidRDefault="00CC77B2" w:rsidP="00CC77B2">
      <w:pPr>
        <w:jc w:val="both"/>
        <w:rPr>
          <w:rStyle w:val="normaltextrun"/>
          <w:rFonts w:ascii="Calibri" w:hAnsi="Calibri" w:cs="Calibri"/>
          <w:bCs/>
        </w:rPr>
      </w:pPr>
      <w:r w:rsidRPr="00DC6A0F">
        <w:rPr>
          <w:rFonts w:ascii="Calibri" w:hAnsi="Calibri" w:cs="Calibri"/>
          <w:bCs/>
        </w:rPr>
        <w:t xml:space="preserve">The following chart reflects the Distributor Price List acquisition price for new item, effective </w:t>
      </w:r>
      <w:r w:rsidR="00DC6A0F" w:rsidRPr="00930A68">
        <w:rPr>
          <w:rFonts w:ascii="Calibri" w:hAnsi="Calibri" w:cs="Calibri"/>
          <w:bCs/>
        </w:rPr>
        <w:t xml:space="preserve">November </w:t>
      </w:r>
      <w:r w:rsidRPr="00930A68">
        <w:rPr>
          <w:rFonts w:ascii="Calibri" w:hAnsi="Calibri" w:cs="Calibri"/>
          <w:bCs/>
        </w:rPr>
        <w:t>1, 2024:</w:t>
      </w:r>
    </w:p>
    <w:tbl>
      <w:tblPr>
        <w:tblW w:w="1000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1356"/>
        <w:gridCol w:w="1187"/>
        <w:gridCol w:w="1102"/>
        <w:gridCol w:w="1102"/>
        <w:gridCol w:w="1187"/>
      </w:tblGrid>
      <w:tr w:rsidR="00CC77B2" w:rsidRPr="002D41DE" w14:paraId="344314FF" w14:textId="77777777" w:rsidTr="00930A68">
        <w:trPr>
          <w:trHeight w:val="542"/>
        </w:trPr>
        <w:tc>
          <w:tcPr>
            <w:tcW w:w="4069" w:type="dxa"/>
            <w:shd w:val="clear" w:color="auto" w:fill="auto"/>
            <w:noWrap/>
            <w:vAlign w:val="center"/>
            <w:hideMark/>
          </w:tcPr>
          <w:p w14:paraId="176EDE73" w14:textId="77777777" w:rsidR="00CC77B2" w:rsidRPr="002D41DE" w:rsidRDefault="00CC77B2" w:rsidP="00055FB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D41D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358A238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Access 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4A53F9E9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 Sub-Minimum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2A748FF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 Bracket 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 xml:space="preserve">1 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36A820F3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 Bracket 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 xml:space="preserve">2 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6B04DA99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 Bracket 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 xml:space="preserve">3 </w:t>
            </w:r>
          </w:p>
        </w:tc>
      </w:tr>
      <w:tr w:rsidR="00CC77B2" w:rsidRPr="002D41DE" w14:paraId="32044B46" w14:textId="77777777" w:rsidTr="00930A68">
        <w:trPr>
          <w:trHeight w:val="827"/>
        </w:trPr>
        <w:tc>
          <w:tcPr>
            <w:tcW w:w="4069" w:type="dxa"/>
            <w:shd w:val="clear" w:color="000000" w:fill="BFBFBF"/>
            <w:vAlign w:val="center"/>
            <w:hideMark/>
          </w:tcPr>
          <w:p w14:paraId="0C894665" w14:textId="77777777" w:rsidR="00CC77B2" w:rsidRPr="002D41DE" w:rsidRDefault="00CC77B2" w:rsidP="00055FB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41D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Product Description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95E364F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1-124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cases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0 - 1,999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</w:r>
            <w:proofErr w:type="spellStart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>lbs</w:t>
            </w:r>
            <w:proofErr w:type="spellEnd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7E562F37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125-349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cases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2,000 -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 xml:space="preserve">5,599 </w:t>
            </w:r>
            <w:proofErr w:type="spellStart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>lbs</w:t>
            </w:r>
            <w:proofErr w:type="spellEnd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4B5E4BDD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350-1249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cases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5,600 -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 xml:space="preserve">19,999 </w:t>
            </w:r>
            <w:proofErr w:type="spellStart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>lbs</w:t>
            </w:r>
            <w:proofErr w:type="spellEnd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B9132ED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1250-1999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cases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20,000 -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 xml:space="preserve">31,999 </w:t>
            </w:r>
            <w:proofErr w:type="spellStart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>lbs</w:t>
            </w:r>
            <w:proofErr w:type="spellEnd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0C5B9F8B" w14:textId="77777777" w:rsidR="00CC77B2" w:rsidRPr="00DC6A0F" w:rsidRDefault="00CC77B2" w:rsidP="00055FB4">
            <w:pPr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</w:pP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2000 -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Truckload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  <w:t>32,000+</w:t>
            </w:r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br/>
            </w:r>
            <w:proofErr w:type="spellStart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>lbs</w:t>
            </w:r>
            <w:proofErr w:type="spellEnd"/>
            <w:r w:rsidRPr="00DC6A0F">
              <w:rPr>
                <w:rFonts w:ascii="Calibri" w:eastAsia="Times New Roman" w:hAnsi="Calibri" w:cs="Calibri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</w:tr>
      <w:tr w:rsidR="00CC77B2" w:rsidRPr="002D41DE" w14:paraId="51319E44" w14:textId="77777777" w:rsidTr="00930A68">
        <w:trPr>
          <w:trHeight w:val="285"/>
        </w:trPr>
        <w:tc>
          <w:tcPr>
            <w:tcW w:w="4069" w:type="dxa"/>
            <w:shd w:val="clear" w:color="auto" w:fill="auto"/>
            <w:vAlign w:val="center"/>
            <w:hideMark/>
          </w:tcPr>
          <w:p w14:paraId="69C8839C" w14:textId="77777777" w:rsidR="00CC77B2" w:rsidRPr="002D41DE" w:rsidRDefault="00CC77B2" w:rsidP="00055FB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90648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VIVONEX® PEDIATRIC, Unflavored Powder </w:t>
            </w:r>
            <w:r w:rsidRPr="00B90648">
              <w:rPr>
                <w:rFonts w:cstheme="minorHAnsi"/>
                <w:sz w:val="18"/>
                <w:szCs w:val="18"/>
                <w:shd w:val="clear" w:color="auto" w:fill="FFFFFF"/>
              </w:rPr>
              <w:br/>
              <w:t>6 x 400 g canisters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C6DE6F1" w14:textId="3281C676" w:rsidR="00CC77B2" w:rsidRPr="002D41DE" w:rsidRDefault="00764C02" w:rsidP="00055F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$316.76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2F417B47" w14:textId="31643707" w:rsidR="00CC77B2" w:rsidRPr="002D41DE" w:rsidRDefault="00764C02" w:rsidP="00055F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$313.76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E231075" w14:textId="5FA5AE42" w:rsidR="00CC77B2" w:rsidRPr="002D41DE" w:rsidRDefault="00764C02" w:rsidP="00055F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$310.76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23B4527" w14:textId="65C8B9C8" w:rsidR="00CC77B2" w:rsidRPr="002D41DE" w:rsidRDefault="00764C02" w:rsidP="00055F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$310.76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14:paraId="56D8AB54" w14:textId="557DD6D0" w:rsidR="00CC77B2" w:rsidRPr="002D41DE" w:rsidRDefault="00764C02" w:rsidP="00055FB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$310.48</w:t>
            </w:r>
          </w:p>
        </w:tc>
      </w:tr>
    </w:tbl>
    <w:p w14:paraId="146E4A4D" w14:textId="77777777" w:rsidR="00CC77B2" w:rsidRDefault="00CC77B2" w:rsidP="007B3B2D">
      <w:pPr>
        <w:rPr>
          <w:b/>
          <w:bCs/>
          <w:sz w:val="20"/>
          <w:szCs w:val="20"/>
        </w:rPr>
      </w:pPr>
    </w:p>
    <w:p w14:paraId="3ACC7E16" w14:textId="77777777" w:rsidR="00CC77B2" w:rsidRDefault="00CC77B2" w:rsidP="007B3B2D">
      <w:pPr>
        <w:rPr>
          <w:b/>
          <w:bCs/>
          <w:sz w:val="20"/>
          <w:szCs w:val="20"/>
        </w:rPr>
      </w:pPr>
    </w:p>
    <w:p w14:paraId="79962DA3" w14:textId="77777777" w:rsidR="00CC77B2" w:rsidRDefault="00CC77B2" w:rsidP="007B3B2D">
      <w:pPr>
        <w:rPr>
          <w:b/>
          <w:bCs/>
          <w:sz w:val="20"/>
          <w:szCs w:val="20"/>
        </w:rPr>
      </w:pPr>
    </w:p>
    <w:p w14:paraId="6CB5A342" w14:textId="77777777" w:rsidR="00CC77B2" w:rsidRDefault="00CC77B2" w:rsidP="007B3B2D">
      <w:pPr>
        <w:rPr>
          <w:b/>
          <w:bCs/>
          <w:sz w:val="20"/>
          <w:szCs w:val="20"/>
        </w:rPr>
      </w:pPr>
    </w:p>
    <w:p w14:paraId="652893CF" w14:textId="77777777" w:rsidR="00CC77B2" w:rsidRDefault="00CC77B2" w:rsidP="007B3B2D">
      <w:pPr>
        <w:rPr>
          <w:b/>
          <w:bCs/>
          <w:sz w:val="20"/>
          <w:szCs w:val="20"/>
        </w:rPr>
      </w:pPr>
    </w:p>
    <w:p w14:paraId="0EA83AB5" w14:textId="77777777" w:rsidR="00CC77B2" w:rsidRDefault="00CC77B2" w:rsidP="007B3B2D">
      <w:pPr>
        <w:rPr>
          <w:b/>
          <w:bCs/>
          <w:sz w:val="20"/>
          <w:szCs w:val="20"/>
        </w:rPr>
      </w:pPr>
    </w:p>
    <w:p w14:paraId="6542BF0B" w14:textId="77777777" w:rsidR="00CC77B2" w:rsidRPr="00DC6A0F" w:rsidRDefault="00CC77B2" w:rsidP="00CC77B2">
      <w:pPr>
        <w:rPr>
          <w:rFonts w:eastAsia="Arial" w:cstheme="minorHAnsi"/>
          <w:b/>
          <w:color w:val="000000" w:themeColor="text1"/>
        </w:rPr>
      </w:pPr>
      <w:r w:rsidRPr="00DC6A0F">
        <w:rPr>
          <w:rFonts w:eastAsia="Arial" w:cstheme="minorHAnsi"/>
          <w:b/>
          <w:color w:val="000000" w:themeColor="text1"/>
        </w:rPr>
        <w:t xml:space="preserve">Street Price List – Contract Number 2482798 </w:t>
      </w:r>
    </w:p>
    <w:p w14:paraId="08C2C1FB" w14:textId="77777777" w:rsidR="00DC6A0F" w:rsidRPr="00930A68" w:rsidRDefault="00CC77B2" w:rsidP="00CC77B2">
      <w:pPr>
        <w:jc w:val="both"/>
        <w:rPr>
          <w:rFonts w:cstheme="minorHAnsi"/>
        </w:rPr>
      </w:pPr>
      <w:r w:rsidRPr="00DC6A0F">
        <w:rPr>
          <w:rFonts w:cstheme="minorHAnsi"/>
        </w:rPr>
        <w:t>The following prices reflect the Street Price List chargeback point for the new item</w:t>
      </w:r>
      <w:r w:rsidRPr="00930A68">
        <w:rPr>
          <w:rFonts w:cstheme="minorHAnsi"/>
        </w:rPr>
        <w:t>, effective</w:t>
      </w:r>
    </w:p>
    <w:p w14:paraId="4CA7F87D" w14:textId="4A99C90D" w:rsidR="00CC77B2" w:rsidRPr="00DC6A0F" w:rsidRDefault="00CC77B2" w:rsidP="00CC77B2">
      <w:pPr>
        <w:jc w:val="both"/>
        <w:rPr>
          <w:rFonts w:cstheme="minorHAnsi"/>
        </w:rPr>
      </w:pPr>
      <w:r w:rsidRPr="00930A68">
        <w:rPr>
          <w:rFonts w:cstheme="minorHAnsi"/>
        </w:rPr>
        <w:t xml:space="preserve"> </w:t>
      </w:r>
      <w:r w:rsidR="00DC6A0F" w:rsidRPr="00930A68">
        <w:rPr>
          <w:rFonts w:cstheme="minorHAnsi"/>
        </w:rPr>
        <w:t>Novem</w:t>
      </w:r>
      <w:r w:rsidRPr="00930A68">
        <w:rPr>
          <w:rFonts w:cstheme="minorHAnsi"/>
        </w:rPr>
        <w:t>ber 1, 2024:</w:t>
      </w:r>
    </w:p>
    <w:tbl>
      <w:tblPr>
        <w:tblStyle w:val="TableGrid"/>
        <w:tblW w:w="457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046"/>
        <w:gridCol w:w="1260"/>
        <w:gridCol w:w="1709"/>
        <w:gridCol w:w="1531"/>
      </w:tblGrid>
      <w:tr w:rsidR="00CC77B2" w:rsidRPr="00B65550" w14:paraId="6420FBC8" w14:textId="77777777" w:rsidTr="00CC77B2">
        <w:trPr>
          <w:trHeight w:val="251"/>
          <w:tblHeader/>
        </w:trPr>
        <w:tc>
          <w:tcPr>
            <w:tcW w:w="2367" w:type="pct"/>
            <w:shd w:val="clear" w:color="auto" w:fill="0099CC"/>
            <w:vAlign w:val="center"/>
          </w:tcPr>
          <w:p w14:paraId="61452F4C" w14:textId="77777777" w:rsidR="00CC77B2" w:rsidRPr="00B41F4F" w:rsidRDefault="00CC77B2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Product Name</w:t>
            </w:r>
          </w:p>
        </w:tc>
        <w:tc>
          <w:tcPr>
            <w:tcW w:w="737" w:type="pct"/>
            <w:shd w:val="clear" w:color="auto" w:fill="0099CC"/>
            <w:vAlign w:val="center"/>
          </w:tcPr>
          <w:p w14:paraId="36346461" w14:textId="77777777" w:rsidR="00CC77B2" w:rsidRPr="00B41F4F" w:rsidRDefault="00CC77B2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Product Code</w:t>
            </w:r>
          </w:p>
        </w:tc>
        <w:tc>
          <w:tcPr>
            <w:tcW w:w="1000" w:type="pct"/>
            <w:shd w:val="clear" w:color="auto" w:fill="0099CC"/>
            <w:vAlign w:val="center"/>
          </w:tcPr>
          <w:p w14:paraId="12FBBB0D" w14:textId="77777777" w:rsidR="00CC77B2" w:rsidRPr="00B41F4F" w:rsidRDefault="00CC77B2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Case UPC</w:t>
            </w:r>
          </w:p>
        </w:tc>
        <w:tc>
          <w:tcPr>
            <w:tcW w:w="896" w:type="pct"/>
            <w:shd w:val="clear" w:color="auto" w:fill="0099CC"/>
            <w:vAlign w:val="center"/>
          </w:tcPr>
          <w:p w14:paraId="5E43A515" w14:textId="77777777" w:rsidR="00CC77B2" w:rsidRPr="00B41F4F" w:rsidRDefault="00CC77B2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Price per Case</w:t>
            </w:r>
          </w:p>
        </w:tc>
      </w:tr>
      <w:tr w:rsidR="00CC77B2" w:rsidRPr="00B65550" w14:paraId="5E542AF8" w14:textId="77777777" w:rsidTr="00CC77B2">
        <w:trPr>
          <w:trHeight w:val="285"/>
        </w:trPr>
        <w:tc>
          <w:tcPr>
            <w:tcW w:w="2367" w:type="pct"/>
          </w:tcPr>
          <w:p w14:paraId="606809BC" w14:textId="2367B168" w:rsidR="00CC77B2" w:rsidRPr="00B41F4F" w:rsidRDefault="00CC77B2" w:rsidP="00055FB4">
            <w:pPr>
              <w:pStyle w:val="TableParagraph"/>
              <w:spacing w:line="242" w:lineRule="exact"/>
              <w:ind w:right="720"/>
              <w:rPr>
                <w:rFonts w:cstheme="minorHAnsi"/>
                <w:b/>
                <w:sz w:val="16"/>
                <w:szCs w:val="16"/>
              </w:rPr>
            </w:pPr>
            <w:r w:rsidRPr="00B906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VIVONEX® PEDIATRIC, Unflavored Powder 6 x 400 g canisters</w:t>
            </w:r>
          </w:p>
        </w:tc>
        <w:tc>
          <w:tcPr>
            <w:tcW w:w="737" w:type="pct"/>
            <w:vAlign w:val="center"/>
          </w:tcPr>
          <w:p w14:paraId="124A6896" w14:textId="19D683A8" w:rsidR="00CC77B2" w:rsidRPr="00B41F4F" w:rsidRDefault="00CC77B2" w:rsidP="00055F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0648">
              <w:rPr>
                <w:rFonts w:asciiTheme="minorHAnsi" w:hAnsiTheme="minorHAnsi" w:cstheme="minorBidi"/>
                <w:sz w:val="18"/>
                <w:szCs w:val="18"/>
              </w:rPr>
              <w:t>8445291507</w:t>
            </w:r>
          </w:p>
        </w:tc>
        <w:tc>
          <w:tcPr>
            <w:tcW w:w="1000" w:type="pct"/>
            <w:vAlign w:val="center"/>
          </w:tcPr>
          <w:p w14:paraId="4B9AFC90" w14:textId="2BE1C532" w:rsidR="00CC77B2" w:rsidRPr="00B41F4F" w:rsidRDefault="00F62117" w:rsidP="00055FB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="00CC77B2" w:rsidRPr="00B90648">
              <w:rPr>
                <w:rFonts w:asciiTheme="minorHAnsi" w:hAnsiTheme="minorHAnsi" w:cstheme="minorBidi"/>
                <w:sz w:val="18"/>
                <w:szCs w:val="18"/>
              </w:rPr>
              <w:t>8445291507654</w:t>
            </w:r>
          </w:p>
        </w:tc>
        <w:tc>
          <w:tcPr>
            <w:tcW w:w="896" w:type="pct"/>
            <w:vAlign w:val="center"/>
          </w:tcPr>
          <w:p w14:paraId="13D7F163" w14:textId="4EFCE6AB" w:rsidR="00CC77B2" w:rsidRPr="004B01DD" w:rsidRDefault="00764C02" w:rsidP="00055FB4">
            <w:pPr>
              <w:jc w:val="center"/>
              <w:rPr>
                <w:rStyle w:val="normaltextrun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sz w:val="18"/>
                <w:szCs w:val="18"/>
                <w:shd w:val="clear" w:color="auto" w:fill="FFFFFF"/>
              </w:rPr>
              <w:t>$</w:t>
            </w:r>
            <w:r>
              <w:rPr>
                <w:rStyle w:val="normaltextrun"/>
                <w:shd w:val="clear" w:color="auto" w:fill="FFFFFF"/>
              </w:rPr>
              <w:t>310.63</w:t>
            </w:r>
          </w:p>
        </w:tc>
      </w:tr>
    </w:tbl>
    <w:p w14:paraId="01BC8763" w14:textId="77777777" w:rsidR="00CC77B2" w:rsidRDefault="00CC77B2" w:rsidP="00CC77B2">
      <w:pPr>
        <w:jc w:val="both"/>
        <w:rPr>
          <w:rFonts w:ascii="Arial" w:hAnsi="Arial" w:cs="Arial"/>
          <w:sz w:val="21"/>
          <w:szCs w:val="21"/>
        </w:rPr>
      </w:pPr>
    </w:p>
    <w:p w14:paraId="2D647DE0" w14:textId="77777777" w:rsidR="00DC6A0F" w:rsidRPr="00E34862" w:rsidRDefault="00DC6A0F" w:rsidP="00DC6A0F">
      <w:pPr>
        <w:rPr>
          <w:rFonts w:ascii="Arial" w:eastAsia="Arial" w:hAnsi="Arial" w:cs="Arial"/>
          <w:b/>
          <w:color w:val="000000" w:themeColor="text1"/>
          <w:sz w:val="21"/>
          <w:szCs w:val="21"/>
        </w:rPr>
      </w:pPr>
      <w:r w:rsidRPr="00E34862">
        <w:rPr>
          <w:rFonts w:ascii="Arial" w:eastAsia="Arial" w:hAnsi="Arial" w:cs="Arial"/>
          <w:b/>
          <w:color w:val="000000" w:themeColor="text1"/>
          <w:sz w:val="21"/>
          <w:szCs w:val="21"/>
        </w:rPr>
        <w:t>Long-Term Care Program – Contract Number 2483959</w:t>
      </w:r>
    </w:p>
    <w:p w14:paraId="6479995E" w14:textId="21E47089" w:rsidR="00DC6A0F" w:rsidRPr="00B65550" w:rsidRDefault="00DC6A0F" w:rsidP="00DC6A0F">
      <w:pPr>
        <w:rPr>
          <w:rFonts w:cstheme="minorHAnsi"/>
        </w:rPr>
      </w:pPr>
      <w:r w:rsidRPr="00DC6A0F">
        <w:rPr>
          <w:rFonts w:cstheme="minorHAnsi"/>
        </w:rPr>
        <w:t xml:space="preserve">The following prices reflect the Long-Term Care Program Price List chargeback points for the new items, effective </w:t>
      </w:r>
      <w:r w:rsidRPr="00930A68">
        <w:rPr>
          <w:rFonts w:cstheme="minorHAnsi"/>
        </w:rPr>
        <w:t>November 1, 2024:</w:t>
      </w:r>
    </w:p>
    <w:tbl>
      <w:tblPr>
        <w:tblStyle w:val="TableGrid"/>
        <w:tblW w:w="457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046"/>
        <w:gridCol w:w="1169"/>
        <w:gridCol w:w="1800"/>
        <w:gridCol w:w="1531"/>
      </w:tblGrid>
      <w:tr w:rsidR="00DC6A0F" w:rsidRPr="00B65550" w14:paraId="36EB3088" w14:textId="77777777" w:rsidTr="00DC6A0F">
        <w:trPr>
          <w:trHeight w:val="251"/>
          <w:tblHeader/>
        </w:trPr>
        <w:tc>
          <w:tcPr>
            <w:tcW w:w="2367" w:type="pct"/>
            <w:shd w:val="clear" w:color="auto" w:fill="0099CC"/>
            <w:vAlign w:val="center"/>
          </w:tcPr>
          <w:p w14:paraId="39E904BC" w14:textId="77777777" w:rsidR="00DC6A0F" w:rsidRPr="00B41F4F" w:rsidRDefault="00DC6A0F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Product Name</w:t>
            </w:r>
          </w:p>
        </w:tc>
        <w:tc>
          <w:tcPr>
            <w:tcW w:w="684" w:type="pct"/>
            <w:shd w:val="clear" w:color="auto" w:fill="0099CC"/>
            <w:vAlign w:val="center"/>
          </w:tcPr>
          <w:p w14:paraId="3B67605C" w14:textId="77777777" w:rsidR="00DC6A0F" w:rsidRPr="00B41F4F" w:rsidRDefault="00DC6A0F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Product Code</w:t>
            </w:r>
          </w:p>
        </w:tc>
        <w:tc>
          <w:tcPr>
            <w:tcW w:w="1053" w:type="pct"/>
            <w:shd w:val="clear" w:color="auto" w:fill="0099CC"/>
            <w:vAlign w:val="center"/>
          </w:tcPr>
          <w:p w14:paraId="07E88EE1" w14:textId="77777777" w:rsidR="00DC6A0F" w:rsidRPr="00B41F4F" w:rsidRDefault="00DC6A0F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Case UPC</w:t>
            </w:r>
          </w:p>
        </w:tc>
        <w:tc>
          <w:tcPr>
            <w:tcW w:w="896" w:type="pct"/>
            <w:shd w:val="clear" w:color="auto" w:fill="0099CC"/>
            <w:vAlign w:val="center"/>
          </w:tcPr>
          <w:p w14:paraId="7FBDFEF6" w14:textId="77777777" w:rsidR="00DC6A0F" w:rsidRPr="00B41F4F" w:rsidRDefault="00DC6A0F" w:rsidP="00055FB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41F4F">
              <w:rPr>
                <w:rFonts w:cstheme="minorHAnsi"/>
                <w:b/>
                <w:sz w:val="16"/>
                <w:szCs w:val="16"/>
              </w:rPr>
              <w:t>Price per Case</w:t>
            </w:r>
          </w:p>
        </w:tc>
      </w:tr>
      <w:tr w:rsidR="00DC6A0F" w:rsidRPr="00B65550" w14:paraId="6C1205A2" w14:textId="77777777" w:rsidTr="00DC6A0F">
        <w:trPr>
          <w:trHeight w:val="285"/>
        </w:trPr>
        <w:tc>
          <w:tcPr>
            <w:tcW w:w="2367" w:type="pct"/>
          </w:tcPr>
          <w:p w14:paraId="77B1B356" w14:textId="37078CF0" w:rsidR="00DC6A0F" w:rsidRPr="00B41F4F" w:rsidRDefault="00DC6A0F" w:rsidP="00055FB4">
            <w:pPr>
              <w:pStyle w:val="TableParagraph"/>
              <w:spacing w:line="242" w:lineRule="exact"/>
              <w:ind w:right="720"/>
              <w:rPr>
                <w:rFonts w:cstheme="minorHAnsi"/>
                <w:b/>
                <w:sz w:val="16"/>
                <w:szCs w:val="16"/>
              </w:rPr>
            </w:pPr>
            <w:r w:rsidRPr="00B90648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VIVONEX® PEDIATRIC, Unflavored Powder 6 x 400 g canisters</w:t>
            </w:r>
          </w:p>
        </w:tc>
        <w:tc>
          <w:tcPr>
            <w:tcW w:w="684" w:type="pct"/>
            <w:vAlign w:val="center"/>
          </w:tcPr>
          <w:p w14:paraId="7739D397" w14:textId="55857183" w:rsidR="00DC6A0F" w:rsidRPr="00B41F4F" w:rsidRDefault="00DC6A0F" w:rsidP="00055F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0648">
              <w:rPr>
                <w:rFonts w:asciiTheme="minorHAnsi" w:hAnsiTheme="minorHAnsi" w:cstheme="minorBidi"/>
                <w:sz w:val="18"/>
                <w:szCs w:val="18"/>
              </w:rPr>
              <w:t>8445291507</w:t>
            </w:r>
          </w:p>
        </w:tc>
        <w:tc>
          <w:tcPr>
            <w:tcW w:w="1053" w:type="pct"/>
            <w:vAlign w:val="center"/>
          </w:tcPr>
          <w:p w14:paraId="007730AF" w14:textId="0F56E02A" w:rsidR="00DC6A0F" w:rsidRPr="00B41F4F" w:rsidRDefault="00F62117" w:rsidP="00055FB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="00DC6A0F" w:rsidRPr="00B90648">
              <w:rPr>
                <w:rFonts w:asciiTheme="minorHAnsi" w:hAnsiTheme="minorHAnsi" w:cstheme="minorBidi"/>
                <w:sz w:val="18"/>
                <w:szCs w:val="18"/>
              </w:rPr>
              <w:t>8445291507654</w:t>
            </w:r>
          </w:p>
        </w:tc>
        <w:tc>
          <w:tcPr>
            <w:tcW w:w="896" w:type="pct"/>
            <w:vAlign w:val="center"/>
          </w:tcPr>
          <w:p w14:paraId="7793618B" w14:textId="6AE9EA50" w:rsidR="00DC6A0F" w:rsidRPr="004B01DD" w:rsidRDefault="00764C02" w:rsidP="00055FB4">
            <w:pPr>
              <w:jc w:val="center"/>
              <w:rPr>
                <w:rStyle w:val="normaltextrun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sz w:val="18"/>
                <w:szCs w:val="18"/>
                <w:shd w:val="clear" w:color="auto" w:fill="FFFFFF"/>
              </w:rPr>
              <w:t>$</w:t>
            </w:r>
            <w:r>
              <w:rPr>
                <w:rStyle w:val="normaltextrun"/>
                <w:shd w:val="clear" w:color="auto" w:fill="FFFFFF"/>
              </w:rPr>
              <w:t>310.63</w:t>
            </w:r>
          </w:p>
        </w:tc>
      </w:tr>
    </w:tbl>
    <w:tbl>
      <w:tblPr>
        <w:tblStyle w:val="TableGrid"/>
        <w:tblpPr w:leftFromText="180" w:rightFromText="180" w:vertAnchor="text" w:horzAnchor="margin" w:tblpY="863"/>
        <w:tblW w:w="0" w:type="auto"/>
        <w:tblLook w:val="04A0" w:firstRow="1" w:lastRow="0" w:firstColumn="1" w:lastColumn="0" w:noHBand="0" w:noVBand="1"/>
      </w:tblPr>
      <w:tblGrid>
        <w:gridCol w:w="4512"/>
        <w:gridCol w:w="4177"/>
      </w:tblGrid>
      <w:tr w:rsidR="00DC6A0F" w:rsidRPr="00363C45" w14:paraId="675A9639" w14:textId="77777777" w:rsidTr="00DC6A0F">
        <w:trPr>
          <w:trHeight w:val="225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955DB1F" w14:textId="77777777" w:rsidR="00DC6A0F" w:rsidRPr="005F74AB" w:rsidRDefault="00DC6A0F" w:rsidP="00DC6A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74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Changing?</w:t>
            </w:r>
          </w:p>
        </w:tc>
        <w:tc>
          <w:tcPr>
            <w:tcW w:w="4177" w:type="dxa"/>
            <w:shd w:val="clear" w:color="auto" w:fill="E7E6E6" w:themeFill="background2"/>
            <w:vAlign w:val="center"/>
          </w:tcPr>
          <w:p w14:paraId="7DC41B5C" w14:textId="77777777" w:rsidR="00DC6A0F" w:rsidRPr="005F74AB" w:rsidRDefault="00DC6A0F" w:rsidP="00DC6A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74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NOT Changing?</w:t>
            </w:r>
          </w:p>
        </w:tc>
      </w:tr>
      <w:tr w:rsidR="00DC6A0F" w:rsidRPr="00363C45" w14:paraId="2687E5B3" w14:textId="77777777" w:rsidTr="00DC6A0F">
        <w:trPr>
          <w:trHeight w:val="2310"/>
        </w:trPr>
        <w:tc>
          <w:tcPr>
            <w:tcW w:w="4512" w:type="dxa"/>
            <w:shd w:val="clear" w:color="auto" w:fill="auto"/>
            <w:vAlign w:val="center"/>
          </w:tcPr>
          <w:p w14:paraId="19420803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Servings/case goes from 36 to 49.5</w:t>
            </w:r>
          </w:p>
          <w:p w14:paraId="153A25DF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Price per case adjusted due to</w:t>
            </w:r>
          </w:p>
          <w:p w14:paraId="72CB9A20" w14:textId="77777777" w:rsidR="00DC6A0F" w:rsidRPr="00DC6A0F" w:rsidRDefault="00DC6A0F" w:rsidP="00DC6A0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increased calories per case</w:t>
            </w:r>
          </w:p>
          <w:p w14:paraId="07E4ADB9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Packaging</w:t>
            </w:r>
          </w:p>
          <w:p w14:paraId="6AE93B7D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UPCs, Product Codes and NDC-format numbers</w:t>
            </w:r>
          </w:p>
          <w:p w14:paraId="109C2DD6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Micronutrient changes to reflect current Dietary Reference Intakes (DRIs)</w:t>
            </w:r>
          </w:p>
          <w:p w14:paraId="5297354C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 xml:space="preserve">Case/pallet dimensions </w:t>
            </w:r>
          </w:p>
          <w:p w14:paraId="0DE47430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Now Halal certified</w:t>
            </w:r>
          </w:p>
          <w:p w14:paraId="104A052C" w14:textId="77777777" w:rsidR="00DC6A0F" w:rsidRPr="00DC6A0F" w:rsidRDefault="00DC6A0F" w:rsidP="00DC6A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DC6A0F">
              <w:rPr>
                <w:rFonts w:asciiTheme="minorHAnsi" w:hAnsiTheme="minorHAnsi" w:cstheme="minorHAnsi"/>
              </w:rPr>
              <w:t>No longer Kosher certified</w:t>
            </w:r>
          </w:p>
        </w:tc>
        <w:tc>
          <w:tcPr>
            <w:tcW w:w="4177" w:type="dxa"/>
            <w:shd w:val="clear" w:color="auto" w:fill="auto"/>
          </w:tcPr>
          <w:p w14:paraId="02B51126" w14:textId="77777777" w:rsidR="00DC6A0F" w:rsidRPr="00DC6A0F" w:rsidRDefault="00DC6A0F" w:rsidP="00DC6A0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Price per calorie</w:t>
            </w:r>
          </w:p>
          <w:p w14:paraId="775FA010" w14:textId="77777777" w:rsidR="00DC6A0F" w:rsidRPr="00DC6A0F" w:rsidRDefault="00DC6A0F" w:rsidP="00DC6A0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Macronutrient profile</w:t>
            </w:r>
          </w:p>
          <w:p w14:paraId="2A8C8E09" w14:textId="77777777" w:rsidR="00DC6A0F" w:rsidRPr="00DC6A0F" w:rsidRDefault="00DC6A0F" w:rsidP="00DC6A0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HCPCS code: B4161</w:t>
            </w:r>
          </w:p>
          <w:p w14:paraId="6D31C25D" w14:textId="77777777" w:rsidR="00DC6A0F" w:rsidRPr="00DC6A0F" w:rsidRDefault="00DC6A0F" w:rsidP="00DC6A0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C6A0F">
              <w:rPr>
                <w:rFonts w:asciiTheme="minorHAnsi" w:hAnsiTheme="minorHAnsi" w:cstheme="minorHAnsi"/>
              </w:rPr>
              <w:t>Shelf life: 24 months</w:t>
            </w:r>
          </w:p>
          <w:p w14:paraId="28FA547C" w14:textId="77777777" w:rsidR="00DC6A0F" w:rsidRPr="00DC6A0F" w:rsidRDefault="00DC6A0F" w:rsidP="00DC6A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4790A63" w14:textId="77777777" w:rsidR="00DC6A0F" w:rsidRDefault="00DC6A0F" w:rsidP="00CC77B2">
      <w:pPr>
        <w:jc w:val="both"/>
        <w:rPr>
          <w:rFonts w:ascii="Arial" w:hAnsi="Arial" w:cs="Arial"/>
          <w:sz w:val="21"/>
          <w:szCs w:val="21"/>
        </w:rPr>
      </w:pPr>
    </w:p>
    <w:p w14:paraId="7388758F" w14:textId="77777777" w:rsidR="00DC6A0F" w:rsidRDefault="00DC6A0F" w:rsidP="00CC77B2">
      <w:pPr>
        <w:jc w:val="both"/>
        <w:rPr>
          <w:rFonts w:ascii="Arial" w:hAnsi="Arial" w:cs="Arial"/>
          <w:sz w:val="21"/>
          <w:szCs w:val="21"/>
        </w:rPr>
      </w:pPr>
    </w:p>
    <w:p w14:paraId="47506823" w14:textId="77777777" w:rsidR="00DC6A0F" w:rsidRPr="00003FF5" w:rsidRDefault="00DC6A0F" w:rsidP="00CC77B2">
      <w:pPr>
        <w:jc w:val="both"/>
        <w:rPr>
          <w:rFonts w:ascii="Arial" w:hAnsi="Arial" w:cs="Arial"/>
          <w:sz w:val="21"/>
          <w:szCs w:val="21"/>
        </w:rPr>
      </w:pPr>
    </w:p>
    <w:p w14:paraId="1607EA73" w14:textId="18580277" w:rsidR="0049266C" w:rsidRPr="00CC77B2" w:rsidRDefault="00CD77CC" w:rsidP="00CC77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         </w:t>
      </w:r>
    </w:p>
    <w:p w14:paraId="73651734" w14:textId="28584180" w:rsidR="0049266C" w:rsidRPr="00CC77B2" w:rsidRDefault="00CC77B2" w:rsidP="00CC77B2">
      <w:pPr>
        <w:ind w:firstLine="72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69FB9" wp14:editId="79AC23CB">
                <wp:simplePos x="0" y="0"/>
                <wp:positionH relativeFrom="column">
                  <wp:posOffset>2886075</wp:posOffset>
                </wp:positionH>
                <wp:positionV relativeFrom="paragraph">
                  <wp:posOffset>1769110</wp:posOffset>
                </wp:positionV>
                <wp:extent cx="733425" cy="228600"/>
                <wp:effectExtent l="0" t="19050" r="47625" b="38100"/>
                <wp:wrapNone/>
                <wp:docPr id="139756020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ED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27.25pt;margin-top:139.3pt;width:5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" adj="18234" fillcolor="#4472c4 [3204]" strokecolor="#09101d [484]" strokeweight="1pt"/>
            </w:pict>
          </mc:Fallback>
        </mc:AlternateContent>
      </w:r>
      <w:r w:rsidR="0049266C">
        <w:rPr>
          <w:b/>
          <w:bCs/>
          <w:sz w:val="24"/>
          <w:szCs w:val="24"/>
        </w:rPr>
        <w:tab/>
      </w:r>
      <w:r w:rsidR="00DC6A0F">
        <w:rPr>
          <w:b/>
          <w:bCs/>
          <w:noProof/>
          <w:sz w:val="24"/>
          <w:szCs w:val="24"/>
        </w:rPr>
        <w:drawing>
          <wp:inline distT="0" distB="0" distL="0" distR="0" wp14:anchorId="46CB4885" wp14:editId="25F4CA1E">
            <wp:extent cx="1856539" cy="1266190"/>
            <wp:effectExtent l="0" t="0" r="0" b="0"/>
            <wp:docPr id="1310866372" name="Picture 1" descr="A box of powdered baby pow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66372" name="Picture 1" descr="A box of powdered baby powd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835" cy="12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66C">
        <w:rPr>
          <w:b/>
          <w:bCs/>
          <w:sz w:val="24"/>
          <w:szCs w:val="24"/>
        </w:rPr>
        <w:tab/>
      </w:r>
      <w:r w:rsidR="0049266C">
        <w:rPr>
          <w:b/>
          <w:bCs/>
          <w:sz w:val="24"/>
          <w:szCs w:val="24"/>
        </w:rPr>
        <w:tab/>
      </w:r>
      <w:r w:rsidR="00DC6A0F">
        <w:rPr>
          <w:b/>
          <w:bCs/>
          <w:noProof/>
          <w:sz w:val="24"/>
          <w:szCs w:val="24"/>
        </w:rPr>
        <w:drawing>
          <wp:inline distT="0" distB="0" distL="0" distR="0" wp14:anchorId="5CD5905C" wp14:editId="080FF07E">
            <wp:extent cx="1593850" cy="1593850"/>
            <wp:effectExtent l="0" t="0" r="6350" b="6350"/>
            <wp:docPr id="566500858" name="Picture 3" descr="A white can of pow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00858" name="Picture 3" descr="A white can of powd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66C">
        <w:rPr>
          <w:b/>
          <w:bCs/>
          <w:sz w:val="24"/>
          <w:szCs w:val="24"/>
        </w:rPr>
        <w:tab/>
      </w:r>
      <w:r w:rsidR="0049266C">
        <w:rPr>
          <w:b/>
          <w:bCs/>
          <w:sz w:val="24"/>
          <w:szCs w:val="24"/>
        </w:rPr>
        <w:tab/>
      </w:r>
      <w:r w:rsidR="05A836CC" w:rsidRPr="2C779E77">
        <w:rPr>
          <w:b/>
          <w:bCs/>
          <w:sz w:val="24"/>
          <w:szCs w:val="24"/>
        </w:rPr>
        <w:t xml:space="preserve"> </w:t>
      </w:r>
    </w:p>
    <w:p w14:paraId="5A6D03E8" w14:textId="30123C42" w:rsidR="00DC6A0F" w:rsidRDefault="00DC6A0F" w:rsidP="00E13C34">
      <w:pPr>
        <w:rPr>
          <w:rFonts w:cstheme="minorHAnsi"/>
        </w:rPr>
      </w:pPr>
    </w:p>
    <w:p w14:paraId="4494B873" w14:textId="77777777" w:rsidR="00DC6A0F" w:rsidRDefault="00DC6A0F" w:rsidP="00E13C34">
      <w:pPr>
        <w:rPr>
          <w:rFonts w:cstheme="minorHAnsi"/>
        </w:rPr>
      </w:pPr>
    </w:p>
    <w:p w14:paraId="5B33BC65" w14:textId="77777777" w:rsidR="00DC6A0F" w:rsidRDefault="00DC6A0F" w:rsidP="00E13C34">
      <w:pPr>
        <w:rPr>
          <w:rFonts w:cstheme="minorHAnsi"/>
        </w:rPr>
      </w:pPr>
    </w:p>
    <w:p w14:paraId="2D1E5B14" w14:textId="77777777" w:rsidR="00DC6A0F" w:rsidRDefault="00DC6A0F" w:rsidP="00E13C34">
      <w:pPr>
        <w:rPr>
          <w:rFonts w:cstheme="minorHAnsi"/>
        </w:rPr>
      </w:pPr>
    </w:p>
    <w:p w14:paraId="0501A600" w14:textId="77777777" w:rsidR="00DC6A0F" w:rsidRDefault="00DC6A0F" w:rsidP="00E13C34">
      <w:pPr>
        <w:rPr>
          <w:rFonts w:cstheme="minorHAnsi"/>
        </w:rPr>
      </w:pPr>
    </w:p>
    <w:p w14:paraId="538EA6D0" w14:textId="77777777" w:rsidR="00DC6A0F" w:rsidRDefault="00DC6A0F" w:rsidP="00E13C34">
      <w:pPr>
        <w:rPr>
          <w:rFonts w:cstheme="minorHAnsi"/>
        </w:rPr>
      </w:pPr>
    </w:p>
    <w:p w14:paraId="49732C09" w14:textId="77777777" w:rsidR="00DC6A0F" w:rsidRDefault="00DC6A0F" w:rsidP="00E13C34">
      <w:pPr>
        <w:rPr>
          <w:rFonts w:cstheme="minorHAnsi"/>
        </w:rPr>
      </w:pPr>
    </w:p>
    <w:p w14:paraId="11E8D485" w14:textId="77777777" w:rsidR="00DC6A0F" w:rsidRDefault="00DC6A0F" w:rsidP="00E13C34">
      <w:pPr>
        <w:rPr>
          <w:rFonts w:cstheme="minorHAnsi"/>
        </w:rPr>
      </w:pPr>
    </w:p>
    <w:p w14:paraId="6E8EAACB" w14:textId="77777777" w:rsidR="00DC6A0F" w:rsidRDefault="00DC6A0F" w:rsidP="00E13C34">
      <w:pPr>
        <w:rPr>
          <w:rFonts w:cstheme="minorHAnsi"/>
        </w:rPr>
      </w:pPr>
    </w:p>
    <w:p w14:paraId="1C2601AD" w14:textId="2C2DA7E4" w:rsidR="00155DB3" w:rsidRPr="00DC6A0F" w:rsidRDefault="00155DB3" w:rsidP="00E13C34">
      <w:pPr>
        <w:rPr>
          <w:rFonts w:cstheme="minorHAnsi"/>
        </w:rPr>
      </w:pPr>
      <w:r w:rsidRPr="00DC6A0F">
        <w:rPr>
          <w:rFonts w:cstheme="minorHAnsi"/>
        </w:rPr>
        <w:t xml:space="preserve">Should you have any questions or require additional information, please work with your Nestlé representative, or call our Consumer Service Center at 1-800-422-2752 that is staffed with Registered Dietitian Nutritionists (RDN). Additional product information and support tools can be found on our Medical Hub at </w:t>
      </w:r>
      <w:hyperlink r:id="rId12" w:history="1">
        <w:r w:rsidRPr="00DC6A0F">
          <w:rPr>
            <w:rStyle w:val="Hyperlink"/>
            <w:rFonts w:cstheme="minorHAnsi"/>
          </w:rPr>
          <w:t>www.nestlemedicalhub.com</w:t>
        </w:r>
      </w:hyperlink>
      <w:r w:rsidRPr="00DC6A0F">
        <w:rPr>
          <w:rFonts w:cstheme="minorHAnsi"/>
        </w:rPr>
        <w:t xml:space="preserve">. If ordering through one of our distributor partners, please work directly with your distributor representative </w:t>
      </w:r>
      <w:r w:rsidR="00CD5EA4" w:rsidRPr="00DC6A0F">
        <w:rPr>
          <w:rFonts w:cstheme="minorHAnsi"/>
        </w:rPr>
        <w:t>to order product.</w:t>
      </w:r>
    </w:p>
    <w:p w14:paraId="245B181B" w14:textId="77777777" w:rsidR="00155DB3" w:rsidRPr="00DC6A0F" w:rsidRDefault="00155DB3" w:rsidP="00E13C34">
      <w:pPr>
        <w:rPr>
          <w:rFonts w:cstheme="minorHAnsi"/>
        </w:rPr>
      </w:pPr>
      <w:r w:rsidRPr="00DC6A0F">
        <w:rPr>
          <w:rFonts w:cstheme="minorHAnsi"/>
        </w:rPr>
        <w:t>You have our unwavering commitment to providing the highest quality solutions to enhance the health and well-being of those you care for.</w:t>
      </w:r>
    </w:p>
    <w:p w14:paraId="21157993" w14:textId="77777777" w:rsidR="00155DB3" w:rsidRPr="00DC6A0F" w:rsidRDefault="00155DB3" w:rsidP="00E13C34">
      <w:pPr>
        <w:textAlignment w:val="baseline"/>
        <w:rPr>
          <w:rFonts w:eastAsia="Times New Roman" w:cstheme="minorHAnsi"/>
        </w:rPr>
      </w:pPr>
      <w:r w:rsidRPr="00DC6A0F">
        <w:rPr>
          <w:rFonts w:eastAsia="Times New Roman" w:cstheme="minorHAnsi"/>
        </w:rPr>
        <w:t>Sincerely,  </w:t>
      </w:r>
    </w:p>
    <w:p w14:paraId="4FE5AF21" w14:textId="0BB8A6BF" w:rsidR="00155DB3" w:rsidRPr="00363C45" w:rsidRDefault="00155DB3" w:rsidP="00155DB3">
      <w:pPr>
        <w:textAlignment w:val="baseline"/>
        <w:rPr>
          <w:rFonts w:eastAsia="Times New Roman" w:cstheme="minorHAnsi"/>
        </w:rPr>
      </w:pPr>
      <w:r w:rsidRPr="00363C45">
        <w:rPr>
          <w:rFonts w:eastAsia="Times New Roman" w:cstheme="minorHAnsi"/>
        </w:rPr>
        <w:t>  </w:t>
      </w:r>
      <w:r>
        <w:rPr>
          <w:noProof/>
        </w:rPr>
        <w:drawing>
          <wp:inline distT="0" distB="0" distL="0" distR="0" wp14:anchorId="45E1B1CC" wp14:editId="7E6EB2BA">
            <wp:extent cx="840997" cy="390223"/>
            <wp:effectExtent l="0" t="0" r="9525" b="0"/>
            <wp:docPr id="2" name="Picture 2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atur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997" cy="39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9EA0" w14:textId="77777777" w:rsidR="00155DB3" w:rsidRPr="00CC77B2" w:rsidRDefault="00155DB3" w:rsidP="00155DB3">
      <w:pPr>
        <w:spacing w:after="0"/>
        <w:textAlignment w:val="baseline"/>
        <w:rPr>
          <w:rFonts w:eastAsia="Times New Roman"/>
        </w:rPr>
      </w:pPr>
      <w:r w:rsidRPr="00CC77B2">
        <w:rPr>
          <w:rFonts w:eastAsia="Times New Roman"/>
        </w:rPr>
        <w:t>Felicia Belle</w:t>
      </w:r>
    </w:p>
    <w:p w14:paraId="388950F8" w14:textId="77777777" w:rsidR="00155DB3" w:rsidRPr="00CC77B2" w:rsidRDefault="00155DB3" w:rsidP="00155DB3">
      <w:pPr>
        <w:spacing w:after="0"/>
        <w:textAlignment w:val="baseline"/>
        <w:rPr>
          <w:rFonts w:eastAsia="Times New Roman" w:cstheme="minorHAnsi"/>
        </w:rPr>
      </w:pPr>
      <w:r w:rsidRPr="00CC77B2">
        <w:rPr>
          <w:rFonts w:eastAsia="Times New Roman" w:cstheme="minorHAnsi"/>
        </w:rPr>
        <w:t>Vice President, Head of Sales</w:t>
      </w:r>
    </w:p>
    <w:p w14:paraId="06F402DA" w14:textId="77777777" w:rsidR="00155DB3" w:rsidRPr="00CC77B2" w:rsidRDefault="00155DB3" w:rsidP="00155DB3">
      <w:pPr>
        <w:spacing w:after="0"/>
        <w:textAlignment w:val="baseline"/>
        <w:rPr>
          <w:rFonts w:eastAsia="Times New Roman" w:cstheme="minorHAnsi"/>
        </w:rPr>
      </w:pPr>
      <w:r w:rsidRPr="00CC77B2">
        <w:rPr>
          <w:rFonts w:eastAsia="Times New Roman" w:cstheme="minorHAnsi"/>
        </w:rPr>
        <w:t>Nestlé Health Science, US</w:t>
      </w:r>
    </w:p>
    <w:p w14:paraId="74B5843E" w14:textId="77777777" w:rsidR="00155DB3" w:rsidRPr="00CC77B2" w:rsidRDefault="00155DB3" w:rsidP="00155DB3">
      <w:pPr>
        <w:textAlignment w:val="baseline"/>
        <w:rPr>
          <w:rFonts w:eastAsia="Times New Roman" w:cstheme="minorHAnsi"/>
        </w:rPr>
      </w:pPr>
    </w:p>
    <w:p w14:paraId="62BC2BAE" w14:textId="381DBB13" w:rsidR="00134A8E" w:rsidRPr="00CC77B2" w:rsidRDefault="00155DB3" w:rsidP="00155DB3">
      <w:pPr>
        <w:textAlignment w:val="baseline"/>
        <w:rPr>
          <w:rFonts w:eastAsia="Times New Roman" w:cstheme="minorHAnsi"/>
        </w:rPr>
      </w:pPr>
      <w:r w:rsidRPr="00CC77B2">
        <w:rPr>
          <w:rFonts w:eastAsia="Times New Roman" w:cstheme="minorHAnsi"/>
        </w:rPr>
        <w:t>Attachments: Spec Sheet &amp; Cross Reference          </w:t>
      </w:r>
    </w:p>
    <w:sectPr w:rsidR="00134A8E" w:rsidRPr="00CC77B2" w:rsidSect="00D36F1B">
      <w:headerReference w:type="default" r:id="rId14"/>
      <w:pgSz w:w="12240" w:h="15840"/>
      <w:pgMar w:top="1152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836F7" w14:textId="77777777" w:rsidR="002E188F" w:rsidRDefault="002E188F" w:rsidP="008C5CFB">
      <w:pPr>
        <w:spacing w:after="0" w:line="240" w:lineRule="auto"/>
      </w:pPr>
      <w:r>
        <w:separator/>
      </w:r>
    </w:p>
  </w:endnote>
  <w:endnote w:type="continuationSeparator" w:id="0">
    <w:p w14:paraId="25A23431" w14:textId="77777777" w:rsidR="002E188F" w:rsidRDefault="002E188F" w:rsidP="008C5CFB">
      <w:pPr>
        <w:spacing w:after="0" w:line="240" w:lineRule="auto"/>
      </w:pPr>
      <w:r>
        <w:continuationSeparator/>
      </w:r>
    </w:p>
  </w:endnote>
  <w:endnote w:type="continuationNotice" w:id="1">
    <w:p w14:paraId="04C2FCD4" w14:textId="77777777" w:rsidR="002E188F" w:rsidRDefault="002E1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2E043" w14:textId="77777777" w:rsidR="002E188F" w:rsidRDefault="002E188F" w:rsidP="008C5CFB">
      <w:pPr>
        <w:spacing w:after="0" w:line="240" w:lineRule="auto"/>
      </w:pPr>
      <w:r>
        <w:separator/>
      </w:r>
    </w:p>
  </w:footnote>
  <w:footnote w:type="continuationSeparator" w:id="0">
    <w:p w14:paraId="1A7BEBF0" w14:textId="77777777" w:rsidR="002E188F" w:rsidRDefault="002E188F" w:rsidP="008C5CFB">
      <w:pPr>
        <w:spacing w:after="0" w:line="240" w:lineRule="auto"/>
      </w:pPr>
      <w:r>
        <w:continuationSeparator/>
      </w:r>
    </w:p>
  </w:footnote>
  <w:footnote w:type="continuationNotice" w:id="1">
    <w:p w14:paraId="5372C991" w14:textId="77777777" w:rsidR="002E188F" w:rsidRDefault="002E1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503B7" w14:textId="4297CBB7" w:rsidR="002005F4" w:rsidRDefault="002005F4">
    <w:pPr>
      <w:pStyle w:val="Header"/>
    </w:pPr>
    <w:r>
      <w:rPr>
        <w:noProof/>
      </w:rPr>
      <w:drawing>
        <wp:inline distT="0" distB="0" distL="0" distR="0" wp14:anchorId="546EFFEC" wp14:editId="415CF5C6">
          <wp:extent cx="1847850" cy="400050"/>
          <wp:effectExtent l="0" t="0" r="0" b="0"/>
          <wp:docPr id="25" name="Picture 25" descr="https://www.nestlehealthscience.fr/asset-library/PublishingImages/info/logo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nestlehealthscience.fr/asset-library/PublishingImages/info/logo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99" cy="40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65CBD"/>
    <w:multiLevelType w:val="hybridMultilevel"/>
    <w:tmpl w:val="FE42B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6910"/>
    <w:multiLevelType w:val="hybridMultilevel"/>
    <w:tmpl w:val="B824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0EC7"/>
    <w:multiLevelType w:val="hybridMultilevel"/>
    <w:tmpl w:val="562A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61BF9"/>
    <w:multiLevelType w:val="hybridMultilevel"/>
    <w:tmpl w:val="8B32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0684E"/>
    <w:multiLevelType w:val="hybridMultilevel"/>
    <w:tmpl w:val="66A67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4E2143"/>
    <w:multiLevelType w:val="hybridMultilevel"/>
    <w:tmpl w:val="8070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07895">
    <w:abstractNumId w:val="2"/>
  </w:num>
  <w:num w:numId="2" w16cid:durableId="1871409294">
    <w:abstractNumId w:val="1"/>
  </w:num>
  <w:num w:numId="3" w16cid:durableId="630674198">
    <w:abstractNumId w:val="0"/>
  </w:num>
  <w:num w:numId="4" w16cid:durableId="1246306847">
    <w:abstractNumId w:val="5"/>
  </w:num>
  <w:num w:numId="5" w16cid:durableId="438372528">
    <w:abstractNumId w:val="4"/>
  </w:num>
  <w:num w:numId="6" w16cid:durableId="414591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FB"/>
    <w:rsid w:val="00000033"/>
    <w:rsid w:val="00006C8D"/>
    <w:rsid w:val="00023A02"/>
    <w:rsid w:val="0003023D"/>
    <w:rsid w:val="00031D99"/>
    <w:rsid w:val="00034BB0"/>
    <w:rsid w:val="00035D65"/>
    <w:rsid w:val="000438E3"/>
    <w:rsid w:val="00053DCB"/>
    <w:rsid w:val="00054463"/>
    <w:rsid w:val="00067733"/>
    <w:rsid w:val="0007076B"/>
    <w:rsid w:val="00074110"/>
    <w:rsid w:val="00077582"/>
    <w:rsid w:val="000847F2"/>
    <w:rsid w:val="000926BD"/>
    <w:rsid w:val="00094135"/>
    <w:rsid w:val="000944CA"/>
    <w:rsid w:val="00097D39"/>
    <w:rsid w:val="000A0BFB"/>
    <w:rsid w:val="000A3155"/>
    <w:rsid w:val="000A51BE"/>
    <w:rsid w:val="000A590A"/>
    <w:rsid w:val="000A5F7E"/>
    <w:rsid w:val="000B035A"/>
    <w:rsid w:val="000C23E1"/>
    <w:rsid w:val="000C2F57"/>
    <w:rsid w:val="000C65CD"/>
    <w:rsid w:val="000C6794"/>
    <w:rsid w:val="000D4498"/>
    <w:rsid w:val="000E36FC"/>
    <w:rsid w:val="000F63E7"/>
    <w:rsid w:val="00112B0B"/>
    <w:rsid w:val="00120D53"/>
    <w:rsid w:val="00120D92"/>
    <w:rsid w:val="001261D5"/>
    <w:rsid w:val="00134A8E"/>
    <w:rsid w:val="001364CA"/>
    <w:rsid w:val="00142E48"/>
    <w:rsid w:val="00152109"/>
    <w:rsid w:val="00155DB3"/>
    <w:rsid w:val="00165FBE"/>
    <w:rsid w:val="00171820"/>
    <w:rsid w:val="001729EF"/>
    <w:rsid w:val="00183DA4"/>
    <w:rsid w:val="001901B5"/>
    <w:rsid w:val="001906B8"/>
    <w:rsid w:val="001930E2"/>
    <w:rsid w:val="001938E4"/>
    <w:rsid w:val="00196B85"/>
    <w:rsid w:val="00197318"/>
    <w:rsid w:val="00197F97"/>
    <w:rsid w:val="001C3EA0"/>
    <w:rsid w:val="001C657D"/>
    <w:rsid w:val="001D16CA"/>
    <w:rsid w:val="001D5F5B"/>
    <w:rsid w:val="001D7203"/>
    <w:rsid w:val="001E76D9"/>
    <w:rsid w:val="001F48B6"/>
    <w:rsid w:val="002005F4"/>
    <w:rsid w:val="0020445F"/>
    <w:rsid w:val="002108E3"/>
    <w:rsid w:val="002157F7"/>
    <w:rsid w:val="00215D54"/>
    <w:rsid w:val="00216B86"/>
    <w:rsid w:val="00217D4B"/>
    <w:rsid w:val="002226B7"/>
    <w:rsid w:val="00224169"/>
    <w:rsid w:val="00224E1A"/>
    <w:rsid w:val="002273C1"/>
    <w:rsid w:val="00252672"/>
    <w:rsid w:val="00256383"/>
    <w:rsid w:val="00271376"/>
    <w:rsid w:val="002746ED"/>
    <w:rsid w:val="00276375"/>
    <w:rsid w:val="002839EC"/>
    <w:rsid w:val="00284EF9"/>
    <w:rsid w:val="00294033"/>
    <w:rsid w:val="002963F3"/>
    <w:rsid w:val="002A4E95"/>
    <w:rsid w:val="002A6182"/>
    <w:rsid w:val="002A7460"/>
    <w:rsid w:val="002A76F2"/>
    <w:rsid w:val="002B21E6"/>
    <w:rsid w:val="002B2A05"/>
    <w:rsid w:val="002B2FF5"/>
    <w:rsid w:val="002B4010"/>
    <w:rsid w:val="002C4268"/>
    <w:rsid w:val="002C7577"/>
    <w:rsid w:val="002D617A"/>
    <w:rsid w:val="002E1283"/>
    <w:rsid w:val="002E188F"/>
    <w:rsid w:val="002E510B"/>
    <w:rsid w:val="002F4275"/>
    <w:rsid w:val="002F54B3"/>
    <w:rsid w:val="00303FCF"/>
    <w:rsid w:val="0031251F"/>
    <w:rsid w:val="00316827"/>
    <w:rsid w:val="00326AA1"/>
    <w:rsid w:val="003353D9"/>
    <w:rsid w:val="00335428"/>
    <w:rsid w:val="003372C2"/>
    <w:rsid w:val="00360248"/>
    <w:rsid w:val="00381231"/>
    <w:rsid w:val="00382352"/>
    <w:rsid w:val="00390CDF"/>
    <w:rsid w:val="003922D6"/>
    <w:rsid w:val="00394873"/>
    <w:rsid w:val="003972F7"/>
    <w:rsid w:val="003A3202"/>
    <w:rsid w:val="003A4F7A"/>
    <w:rsid w:val="003B2A6A"/>
    <w:rsid w:val="003C0FF1"/>
    <w:rsid w:val="003C7BC4"/>
    <w:rsid w:val="003E7D3C"/>
    <w:rsid w:val="003F2692"/>
    <w:rsid w:val="003F4680"/>
    <w:rsid w:val="003F5C2B"/>
    <w:rsid w:val="004002E5"/>
    <w:rsid w:val="00406889"/>
    <w:rsid w:val="00407EB6"/>
    <w:rsid w:val="004114C0"/>
    <w:rsid w:val="00420C1E"/>
    <w:rsid w:val="0042132F"/>
    <w:rsid w:val="00426FE4"/>
    <w:rsid w:val="004270A1"/>
    <w:rsid w:val="00431731"/>
    <w:rsid w:val="00432FF1"/>
    <w:rsid w:val="00435233"/>
    <w:rsid w:val="0044196B"/>
    <w:rsid w:val="00453283"/>
    <w:rsid w:val="00456A4B"/>
    <w:rsid w:val="00462C5F"/>
    <w:rsid w:val="00482E1C"/>
    <w:rsid w:val="0049266C"/>
    <w:rsid w:val="004A4726"/>
    <w:rsid w:val="004C0BD6"/>
    <w:rsid w:val="004C1273"/>
    <w:rsid w:val="004C4E68"/>
    <w:rsid w:val="004C6807"/>
    <w:rsid w:val="004D6496"/>
    <w:rsid w:val="004D7651"/>
    <w:rsid w:val="004E2F1C"/>
    <w:rsid w:val="004F2FCC"/>
    <w:rsid w:val="004F7A6C"/>
    <w:rsid w:val="0050070B"/>
    <w:rsid w:val="00500F5F"/>
    <w:rsid w:val="00502FAB"/>
    <w:rsid w:val="005038F2"/>
    <w:rsid w:val="00507AD1"/>
    <w:rsid w:val="00513E10"/>
    <w:rsid w:val="00516990"/>
    <w:rsid w:val="00535A55"/>
    <w:rsid w:val="0054097C"/>
    <w:rsid w:val="005540D2"/>
    <w:rsid w:val="00557F23"/>
    <w:rsid w:val="00574CEF"/>
    <w:rsid w:val="005771CE"/>
    <w:rsid w:val="005779F7"/>
    <w:rsid w:val="005843EB"/>
    <w:rsid w:val="00594883"/>
    <w:rsid w:val="005955EA"/>
    <w:rsid w:val="005A1545"/>
    <w:rsid w:val="005B4134"/>
    <w:rsid w:val="005B43AD"/>
    <w:rsid w:val="005C5684"/>
    <w:rsid w:val="005E39F2"/>
    <w:rsid w:val="005F439B"/>
    <w:rsid w:val="006008DA"/>
    <w:rsid w:val="006043DA"/>
    <w:rsid w:val="006217A9"/>
    <w:rsid w:val="006232EE"/>
    <w:rsid w:val="0062706B"/>
    <w:rsid w:val="006308AF"/>
    <w:rsid w:val="00637FBF"/>
    <w:rsid w:val="006441F5"/>
    <w:rsid w:val="0064525A"/>
    <w:rsid w:val="006747CB"/>
    <w:rsid w:val="006758E2"/>
    <w:rsid w:val="006B007A"/>
    <w:rsid w:val="006B5E8E"/>
    <w:rsid w:val="006C0A20"/>
    <w:rsid w:val="006C72F7"/>
    <w:rsid w:val="006D57FC"/>
    <w:rsid w:val="006D6950"/>
    <w:rsid w:val="006E4BFD"/>
    <w:rsid w:val="006F4A86"/>
    <w:rsid w:val="006F7865"/>
    <w:rsid w:val="007029FC"/>
    <w:rsid w:val="00705CA1"/>
    <w:rsid w:val="007176F5"/>
    <w:rsid w:val="007222DA"/>
    <w:rsid w:val="00727551"/>
    <w:rsid w:val="00732197"/>
    <w:rsid w:val="00741035"/>
    <w:rsid w:val="00750E9B"/>
    <w:rsid w:val="007570C7"/>
    <w:rsid w:val="00764C02"/>
    <w:rsid w:val="007667EE"/>
    <w:rsid w:val="00766AFC"/>
    <w:rsid w:val="00767271"/>
    <w:rsid w:val="007735ED"/>
    <w:rsid w:val="007800B0"/>
    <w:rsid w:val="00795391"/>
    <w:rsid w:val="007970BE"/>
    <w:rsid w:val="007A0DBA"/>
    <w:rsid w:val="007A7F6C"/>
    <w:rsid w:val="007B1599"/>
    <w:rsid w:val="007B3B2D"/>
    <w:rsid w:val="007D21FF"/>
    <w:rsid w:val="007D2C44"/>
    <w:rsid w:val="007D4992"/>
    <w:rsid w:val="007F368A"/>
    <w:rsid w:val="0081083A"/>
    <w:rsid w:val="00810BBA"/>
    <w:rsid w:val="00810F01"/>
    <w:rsid w:val="008113AC"/>
    <w:rsid w:val="00821BF9"/>
    <w:rsid w:val="008231D4"/>
    <w:rsid w:val="00834332"/>
    <w:rsid w:val="00834355"/>
    <w:rsid w:val="008362F9"/>
    <w:rsid w:val="00836A0E"/>
    <w:rsid w:val="00837E9B"/>
    <w:rsid w:val="00841C29"/>
    <w:rsid w:val="008426B0"/>
    <w:rsid w:val="00845292"/>
    <w:rsid w:val="00845BFD"/>
    <w:rsid w:val="008512D8"/>
    <w:rsid w:val="00854E3A"/>
    <w:rsid w:val="00857B88"/>
    <w:rsid w:val="00862682"/>
    <w:rsid w:val="00871189"/>
    <w:rsid w:val="00871BAA"/>
    <w:rsid w:val="008860B0"/>
    <w:rsid w:val="008A4C5D"/>
    <w:rsid w:val="008A5238"/>
    <w:rsid w:val="008A5A58"/>
    <w:rsid w:val="008A64CD"/>
    <w:rsid w:val="008B6028"/>
    <w:rsid w:val="008C4DCC"/>
    <w:rsid w:val="008C5CFB"/>
    <w:rsid w:val="008C5FB3"/>
    <w:rsid w:val="008C6F3A"/>
    <w:rsid w:val="008D14B9"/>
    <w:rsid w:val="008F1D86"/>
    <w:rsid w:val="00913509"/>
    <w:rsid w:val="00914AA8"/>
    <w:rsid w:val="00920AF8"/>
    <w:rsid w:val="009242E4"/>
    <w:rsid w:val="00927BB5"/>
    <w:rsid w:val="0093019E"/>
    <w:rsid w:val="00930A68"/>
    <w:rsid w:val="009509D4"/>
    <w:rsid w:val="00952DC5"/>
    <w:rsid w:val="00954919"/>
    <w:rsid w:val="00954FAA"/>
    <w:rsid w:val="00960258"/>
    <w:rsid w:val="009607AF"/>
    <w:rsid w:val="00960B9F"/>
    <w:rsid w:val="00962D05"/>
    <w:rsid w:val="00971D52"/>
    <w:rsid w:val="00977DA6"/>
    <w:rsid w:val="0098578F"/>
    <w:rsid w:val="00995029"/>
    <w:rsid w:val="0099695A"/>
    <w:rsid w:val="009B0DBA"/>
    <w:rsid w:val="009C31BC"/>
    <w:rsid w:val="009D3684"/>
    <w:rsid w:val="009D4038"/>
    <w:rsid w:val="009D4185"/>
    <w:rsid w:val="009F1C2D"/>
    <w:rsid w:val="009F1E5A"/>
    <w:rsid w:val="00A01ACB"/>
    <w:rsid w:val="00A05C44"/>
    <w:rsid w:val="00A0631E"/>
    <w:rsid w:val="00A11D14"/>
    <w:rsid w:val="00A2461D"/>
    <w:rsid w:val="00A27C57"/>
    <w:rsid w:val="00A313ED"/>
    <w:rsid w:val="00A4542D"/>
    <w:rsid w:val="00A46470"/>
    <w:rsid w:val="00A469C8"/>
    <w:rsid w:val="00A5645D"/>
    <w:rsid w:val="00A640EC"/>
    <w:rsid w:val="00A66B4A"/>
    <w:rsid w:val="00A70847"/>
    <w:rsid w:val="00A71F6E"/>
    <w:rsid w:val="00A8568B"/>
    <w:rsid w:val="00A9332D"/>
    <w:rsid w:val="00A93582"/>
    <w:rsid w:val="00A9681B"/>
    <w:rsid w:val="00A970F0"/>
    <w:rsid w:val="00AA0F27"/>
    <w:rsid w:val="00AA7F32"/>
    <w:rsid w:val="00AB067A"/>
    <w:rsid w:val="00AB3CDC"/>
    <w:rsid w:val="00AC1D1F"/>
    <w:rsid w:val="00AD325B"/>
    <w:rsid w:val="00AD668E"/>
    <w:rsid w:val="00AD7A5B"/>
    <w:rsid w:val="00B00094"/>
    <w:rsid w:val="00B21866"/>
    <w:rsid w:val="00B25C60"/>
    <w:rsid w:val="00B355D7"/>
    <w:rsid w:val="00B37F30"/>
    <w:rsid w:val="00B413C2"/>
    <w:rsid w:val="00B5007B"/>
    <w:rsid w:val="00B65A1F"/>
    <w:rsid w:val="00B90648"/>
    <w:rsid w:val="00B9081D"/>
    <w:rsid w:val="00BA1639"/>
    <w:rsid w:val="00BB2BEF"/>
    <w:rsid w:val="00BB312B"/>
    <w:rsid w:val="00BB3972"/>
    <w:rsid w:val="00BC56E4"/>
    <w:rsid w:val="00BD0035"/>
    <w:rsid w:val="00BD711E"/>
    <w:rsid w:val="00BE1B7B"/>
    <w:rsid w:val="00BF53C5"/>
    <w:rsid w:val="00C00DF4"/>
    <w:rsid w:val="00C1193A"/>
    <w:rsid w:val="00C147AB"/>
    <w:rsid w:val="00C149F5"/>
    <w:rsid w:val="00C16B37"/>
    <w:rsid w:val="00C17B76"/>
    <w:rsid w:val="00C21EC8"/>
    <w:rsid w:val="00C22012"/>
    <w:rsid w:val="00C35B49"/>
    <w:rsid w:val="00C41833"/>
    <w:rsid w:val="00C46CCC"/>
    <w:rsid w:val="00C52D4F"/>
    <w:rsid w:val="00C56647"/>
    <w:rsid w:val="00C61EC1"/>
    <w:rsid w:val="00C61FE6"/>
    <w:rsid w:val="00C63F27"/>
    <w:rsid w:val="00C8321F"/>
    <w:rsid w:val="00C944CE"/>
    <w:rsid w:val="00CA08BF"/>
    <w:rsid w:val="00CB1AF9"/>
    <w:rsid w:val="00CC29C1"/>
    <w:rsid w:val="00CC6175"/>
    <w:rsid w:val="00CC6BE8"/>
    <w:rsid w:val="00CC77B2"/>
    <w:rsid w:val="00CD0727"/>
    <w:rsid w:val="00CD5EA4"/>
    <w:rsid w:val="00CD77CC"/>
    <w:rsid w:val="00CE1F56"/>
    <w:rsid w:val="00CE6DCC"/>
    <w:rsid w:val="00D0396F"/>
    <w:rsid w:val="00D10989"/>
    <w:rsid w:val="00D10BB1"/>
    <w:rsid w:val="00D2131A"/>
    <w:rsid w:val="00D355BC"/>
    <w:rsid w:val="00D361E9"/>
    <w:rsid w:val="00D36F1B"/>
    <w:rsid w:val="00D409A2"/>
    <w:rsid w:val="00D4593A"/>
    <w:rsid w:val="00D45F22"/>
    <w:rsid w:val="00D508C9"/>
    <w:rsid w:val="00D56034"/>
    <w:rsid w:val="00D57087"/>
    <w:rsid w:val="00D640DD"/>
    <w:rsid w:val="00D643A0"/>
    <w:rsid w:val="00D73097"/>
    <w:rsid w:val="00D80F21"/>
    <w:rsid w:val="00D832CA"/>
    <w:rsid w:val="00D845C1"/>
    <w:rsid w:val="00D9373A"/>
    <w:rsid w:val="00DB41C3"/>
    <w:rsid w:val="00DB7E70"/>
    <w:rsid w:val="00DC6A0F"/>
    <w:rsid w:val="00DC79F7"/>
    <w:rsid w:val="00DE06AB"/>
    <w:rsid w:val="00DE0D13"/>
    <w:rsid w:val="00DE6B13"/>
    <w:rsid w:val="00DF557B"/>
    <w:rsid w:val="00E00AA8"/>
    <w:rsid w:val="00E03F35"/>
    <w:rsid w:val="00E13C34"/>
    <w:rsid w:val="00E22A0A"/>
    <w:rsid w:val="00E24AB2"/>
    <w:rsid w:val="00E3667E"/>
    <w:rsid w:val="00E430C8"/>
    <w:rsid w:val="00E53C4C"/>
    <w:rsid w:val="00E55A5C"/>
    <w:rsid w:val="00E618ED"/>
    <w:rsid w:val="00E73C00"/>
    <w:rsid w:val="00E8417F"/>
    <w:rsid w:val="00E929BE"/>
    <w:rsid w:val="00E9505A"/>
    <w:rsid w:val="00EB7E1E"/>
    <w:rsid w:val="00EB7ECA"/>
    <w:rsid w:val="00EC5078"/>
    <w:rsid w:val="00EC6C76"/>
    <w:rsid w:val="00ED1085"/>
    <w:rsid w:val="00ED3698"/>
    <w:rsid w:val="00ED4D02"/>
    <w:rsid w:val="00ED63FA"/>
    <w:rsid w:val="00ED7B94"/>
    <w:rsid w:val="00ED7BAC"/>
    <w:rsid w:val="00EE73DE"/>
    <w:rsid w:val="00EF45CD"/>
    <w:rsid w:val="00F03381"/>
    <w:rsid w:val="00F21B97"/>
    <w:rsid w:val="00F32C3F"/>
    <w:rsid w:val="00F4036C"/>
    <w:rsid w:val="00F44ACF"/>
    <w:rsid w:val="00F46C9C"/>
    <w:rsid w:val="00F54837"/>
    <w:rsid w:val="00F55BE4"/>
    <w:rsid w:val="00F62117"/>
    <w:rsid w:val="00F632C8"/>
    <w:rsid w:val="00F63D6A"/>
    <w:rsid w:val="00F6622C"/>
    <w:rsid w:val="00F66A88"/>
    <w:rsid w:val="00F75CAE"/>
    <w:rsid w:val="00F865FC"/>
    <w:rsid w:val="00F901EF"/>
    <w:rsid w:val="00F97B8A"/>
    <w:rsid w:val="00FA03FC"/>
    <w:rsid w:val="00FA1F97"/>
    <w:rsid w:val="00FB0833"/>
    <w:rsid w:val="00FB24EE"/>
    <w:rsid w:val="00FC45F3"/>
    <w:rsid w:val="00FD6A33"/>
    <w:rsid w:val="00FE3BE0"/>
    <w:rsid w:val="00FF0CD2"/>
    <w:rsid w:val="00FF668B"/>
    <w:rsid w:val="05A836CC"/>
    <w:rsid w:val="247F9D11"/>
    <w:rsid w:val="2C779E77"/>
    <w:rsid w:val="3B10B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79471"/>
  <w15:chartTrackingRefBased/>
  <w15:docId w15:val="{A90E745A-4F55-4828-969C-24FF74D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F7"/>
    <w:pPr>
      <w:ind w:left="720"/>
      <w:contextualSpacing/>
    </w:pPr>
  </w:style>
  <w:style w:type="paragraph" w:customStyle="1" w:styleId="Default">
    <w:name w:val="Default"/>
    <w:rsid w:val="00977D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F4"/>
  </w:style>
  <w:style w:type="paragraph" w:styleId="Footer">
    <w:name w:val="footer"/>
    <w:basedOn w:val="Normal"/>
    <w:link w:val="FooterChar"/>
    <w:uiPriority w:val="99"/>
    <w:unhideWhenUsed/>
    <w:rsid w:val="00200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F4"/>
  </w:style>
  <w:style w:type="table" w:styleId="TableGrid">
    <w:name w:val="Table Grid"/>
    <w:basedOn w:val="TableNormal"/>
    <w:uiPriority w:val="39"/>
    <w:rsid w:val="007D4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5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2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66A8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45C1"/>
    <w:rPr>
      <w:b/>
      <w:bCs/>
    </w:rPr>
  </w:style>
  <w:style w:type="paragraph" w:customStyle="1" w:styleId="paragraph">
    <w:name w:val="paragraph"/>
    <w:basedOn w:val="Normal"/>
    <w:rsid w:val="008B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5E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08A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C77B2"/>
  </w:style>
  <w:style w:type="paragraph" w:customStyle="1" w:styleId="TableParagraph">
    <w:name w:val="Table Paragraph"/>
    <w:basedOn w:val="Normal"/>
    <w:uiPriority w:val="1"/>
    <w:qFormat/>
    <w:rsid w:val="00CC77B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stle.sharepoint.com/teams/MNLaunchExcellence/Shared%20Documents/Vivonex%20Pediatric/www.nestlemedicalhub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6a405-5057-48fb-92dc-de45118833ac">
      <Terms xmlns="http://schemas.microsoft.com/office/infopath/2007/PartnerControls"/>
    </lcf76f155ced4ddcb4097134ff3c332f>
    <TaxCatchAll xmlns="153841cc-9b25-4ac5-adcb-62ea875393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AB183200338418B80903C78D55EB5" ma:contentTypeVersion="17" ma:contentTypeDescription="Create a new document." ma:contentTypeScope="" ma:versionID="fa2f5599c8f4b56db108e3e542acc5d2">
  <xsd:schema xmlns:xsd="http://www.w3.org/2001/XMLSchema" xmlns:xs="http://www.w3.org/2001/XMLSchema" xmlns:p="http://schemas.microsoft.com/office/2006/metadata/properties" xmlns:ns2="9bf6a405-5057-48fb-92dc-de45118833ac" xmlns:ns3="153841cc-9b25-4ac5-adcb-62ea875393ba" targetNamespace="http://schemas.microsoft.com/office/2006/metadata/properties" ma:root="true" ma:fieldsID="abb4e3526d0c115072492d8da844aa8c" ns2:_="" ns3:_="">
    <xsd:import namespace="9bf6a405-5057-48fb-92dc-de45118833ac"/>
    <xsd:import namespace="153841cc-9b25-4ac5-adcb-62ea8753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6a405-5057-48fb-92dc-de4511883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841cc-9b25-4ac5-adcb-62ea8753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6e800c-3d18-4c5f-97ab-7a4e90d87a9a}" ma:internalName="TaxCatchAll" ma:showField="CatchAllData" ma:web="153841cc-9b25-4ac5-adcb-62ea87539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37365-AF41-41D4-8F71-398899EC752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bf6a405-5057-48fb-92dc-de45118833ac"/>
    <ds:schemaRef ds:uri="http://schemas.openxmlformats.org/package/2006/metadata/core-properties"/>
    <ds:schemaRef ds:uri="http://www.w3.org/XML/1998/namespace"/>
    <ds:schemaRef ds:uri="http://purl.org/dc/terms/"/>
    <ds:schemaRef ds:uri="153841cc-9b25-4ac5-adcb-62ea875393b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FC4C26-B110-4008-8426-A9949B4FF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6a405-5057-48fb-92dc-de45118833ac"/>
    <ds:schemaRef ds:uri="153841cc-9b25-4ac5-adcb-62ea8753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C1663-7840-41C9-B193-6B991BF732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Hamilton,Tanya,US-Bridgewater,External</dc:creator>
  <cp:keywords/>
  <dc:description/>
  <cp:lastModifiedBy>Bryan,Shannon,US-Eden Prairie</cp:lastModifiedBy>
  <cp:revision>4</cp:revision>
  <cp:lastPrinted>2023-03-07T16:45:00Z</cp:lastPrinted>
  <dcterms:created xsi:type="dcterms:W3CDTF">2024-09-03T17:27:00Z</dcterms:created>
  <dcterms:modified xsi:type="dcterms:W3CDTF">2024-09-06T15:03:00Z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2023-01-26T14:48:48Z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016f4de0-7254-4593-ad22-1961e2fc5734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0x010100E1AAB183200338418B80903C78D55EB5</vt:lpwstr>
  </property>
  <property fmtid="{D5CDD505-2E9C-101B-9397-08002B2CF9AE}" pid="10" name="MediaServiceImageTags">
    <vt:lpwstr/>
  </property>
</Properties>
</file>