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4751" w14:textId="688583E1" w:rsidR="00A93DA2" w:rsidRDefault="00A93DA2" w:rsidP="00EB7E04">
      <w:pPr>
        <w:jc w:val="right"/>
        <w:rPr>
          <w:rFonts w:ascii="Solve Pro" w:hAnsi="Solve Pro" w:cs="Solve Pro"/>
          <w:b/>
          <w:bCs/>
        </w:rPr>
      </w:pPr>
      <w:r>
        <w:rPr>
          <w:noProof/>
        </w:rPr>
        <w:drawing>
          <wp:inline distT="0" distB="0" distL="0" distR="0" wp14:anchorId="14ABA7D2" wp14:editId="17C08CB0">
            <wp:extent cx="5943600" cy="725170"/>
            <wp:effectExtent l="0" t="0" r="0" b="0"/>
            <wp:docPr id="205070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AAD1" w14:textId="04B7E891" w:rsidR="00EB7E04" w:rsidRDefault="00570AF0" w:rsidP="00EB7E04">
      <w:pPr>
        <w:jc w:val="right"/>
        <w:rPr>
          <w:rFonts w:ascii="Solve Pro" w:hAnsi="Solve Pro" w:cs="Solve Pro"/>
          <w:b/>
          <w:bCs/>
        </w:rPr>
      </w:pPr>
      <w:r>
        <w:rPr>
          <w:rFonts w:ascii="Solve Pro" w:hAnsi="Solve Pro" w:cs="Solve Pro"/>
          <w:b/>
          <w:bCs/>
        </w:rPr>
        <w:t>March</w:t>
      </w:r>
      <w:r w:rsidR="00EB7E04">
        <w:rPr>
          <w:rFonts w:ascii="Solve Pro" w:hAnsi="Solve Pro" w:cs="Solve Pro"/>
          <w:b/>
          <w:bCs/>
        </w:rPr>
        <w:t xml:space="preserve"> 2026</w:t>
      </w:r>
    </w:p>
    <w:p w14:paraId="23F192C2" w14:textId="11CDB4AB" w:rsidR="003A708F" w:rsidRPr="00EB7E04" w:rsidRDefault="0009054E">
      <w:pPr>
        <w:rPr>
          <w:rFonts w:ascii="Solve Pro" w:hAnsi="Solve Pro" w:cs="Solve Pro"/>
          <w:b/>
          <w:bCs/>
        </w:rPr>
      </w:pPr>
      <w:r w:rsidRPr="00EB7E04">
        <w:rPr>
          <w:rFonts w:ascii="Solve Pro" w:hAnsi="Solve Pro" w:cs="Solve Pro"/>
          <w:b/>
          <w:bCs/>
        </w:rPr>
        <w:t>Notice: Important Information Regarding</w:t>
      </w:r>
      <w:r w:rsidR="00AB7BF7">
        <w:rPr>
          <w:rFonts w:ascii="Solve Pro" w:hAnsi="Solve Pro" w:cs="Solve Pro"/>
          <w:b/>
          <w:bCs/>
        </w:rPr>
        <w:t xml:space="preserve"> </w:t>
      </w:r>
      <w:r w:rsidRPr="00EB7E04">
        <w:rPr>
          <w:rFonts w:ascii="Solve Pro" w:hAnsi="Solve Pro" w:cs="Solve Pro"/>
          <w:b/>
          <w:bCs/>
        </w:rPr>
        <w:t>Solventum</w:t>
      </w:r>
      <w:r w:rsidR="00AB7BF7">
        <w:rPr>
          <w:rFonts w:ascii="Solve Pro" w:hAnsi="Solve Pro" w:cs="Solve Pro"/>
          <w:b/>
          <w:bCs/>
        </w:rPr>
        <w:t xml:space="preserve"> </w:t>
      </w:r>
      <w:r w:rsidRPr="00EB7E04">
        <w:rPr>
          <w:rFonts w:ascii="Solve Pro" w:hAnsi="Solve Pro" w:cs="Solve Pro"/>
          <w:b/>
          <w:bCs/>
        </w:rPr>
        <w:t xml:space="preserve">ERP Transition </w:t>
      </w:r>
    </w:p>
    <w:p w14:paraId="635463AD" w14:textId="37317D4A" w:rsidR="0009054E" w:rsidRPr="00EB7E04" w:rsidRDefault="0009054E">
      <w:pPr>
        <w:rPr>
          <w:rFonts w:ascii="Solve Pro" w:hAnsi="Solve Pro" w:cs="Solve Pro"/>
        </w:rPr>
      </w:pPr>
      <w:r w:rsidRPr="00EB7E04">
        <w:rPr>
          <w:rFonts w:ascii="Solve Pro" w:hAnsi="Solve Pro" w:cs="Solve Pro"/>
        </w:rPr>
        <w:t xml:space="preserve">Dear </w:t>
      </w:r>
      <w:r w:rsidR="00B57475">
        <w:rPr>
          <w:rFonts w:ascii="Solve Pro" w:hAnsi="Solve Pro" w:cs="Solve Pro"/>
        </w:rPr>
        <w:t>Valued Customer</w:t>
      </w:r>
      <w:r w:rsidR="004567D5">
        <w:rPr>
          <w:rFonts w:ascii="Solve Pro" w:hAnsi="Solve Pro" w:cs="Solve Pro"/>
        </w:rPr>
        <w:t>,</w:t>
      </w:r>
    </w:p>
    <w:p w14:paraId="48218925" w14:textId="0AC84FB9" w:rsidR="005B4DE5" w:rsidRDefault="005B4DE5" w:rsidP="0009054E">
      <w:pPr>
        <w:rPr>
          <w:rFonts w:ascii="Solve Pro" w:hAnsi="Solve Pro" w:cs="Solve Pro"/>
        </w:rPr>
      </w:pPr>
      <w:r>
        <w:rPr>
          <w:rFonts w:ascii="Solve Pro" w:hAnsi="Solve Pro" w:cs="Solve Pro"/>
        </w:rPr>
        <w:t>Over the past several months, we have been working diligently to ensure</w:t>
      </w:r>
      <w:r w:rsidR="00CC533A">
        <w:rPr>
          <w:rFonts w:ascii="Solve Pro" w:hAnsi="Solve Pro" w:cs="Solve Pro"/>
        </w:rPr>
        <w:t xml:space="preserve"> a smooth and efficient transition from 3M to Solventum.  During this period, 3M has </w:t>
      </w:r>
      <w:r w:rsidR="00647ECB">
        <w:rPr>
          <w:rFonts w:ascii="Solve Pro" w:hAnsi="Solve Pro" w:cs="Solve Pro"/>
        </w:rPr>
        <w:t xml:space="preserve">continued to provide transitional support to Solventum while we develop our own </w:t>
      </w:r>
      <w:r w:rsidR="00000E6D">
        <w:rPr>
          <w:rFonts w:ascii="Solve Pro" w:hAnsi="Solve Pro" w:cs="Solve Pro"/>
        </w:rPr>
        <w:t>infrastructure.</w:t>
      </w:r>
    </w:p>
    <w:p w14:paraId="4679AB96" w14:textId="36B9D582" w:rsidR="00000E6D" w:rsidRDefault="00000E6D" w:rsidP="0009054E">
      <w:pPr>
        <w:rPr>
          <w:rFonts w:ascii="Solve Pro" w:hAnsi="Solve Pro" w:cs="Solve Pro"/>
        </w:rPr>
      </w:pPr>
      <w:r>
        <w:rPr>
          <w:rFonts w:ascii="Solve Pro" w:hAnsi="Solve Pro" w:cs="Solve Pro"/>
        </w:rPr>
        <w:t>Following a comprehensive review</w:t>
      </w:r>
      <w:r w:rsidR="00FD45B9">
        <w:rPr>
          <w:rFonts w:ascii="Solve Pro" w:hAnsi="Solve Pro" w:cs="Solve Pro"/>
        </w:rPr>
        <w:t xml:space="preserve"> by </w:t>
      </w:r>
      <w:r w:rsidR="00E15FE6">
        <w:rPr>
          <w:rFonts w:ascii="Solve Pro" w:hAnsi="Solve Pro" w:cs="Solve Pro"/>
        </w:rPr>
        <w:t xml:space="preserve">Solventum’s </w:t>
      </w:r>
      <w:r w:rsidR="00FD45B9">
        <w:rPr>
          <w:rFonts w:ascii="Solve Pro" w:hAnsi="Solve Pro" w:cs="Solve Pro"/>
        </w:rPr>
        <w:t xml:space="preserve">leadership teams, </w:t>
      </w:r>
      <w:r w:rsidR="00F33A9C">
        <w:rPr>
          <w:rFonts w:ascii="Solve Pro" w:hAnsi="Solve Pro" w:cs="Solve Pro"/>
        </w:rPr>
        <w:t xml:space="preserve">the </w:t>
      </w:r>
      <w:r w:rsidR="00CD37E3">
        <w:rPr>
          <w:rFonts w:ascii="Solve Pro" w:hAnsi="Solve Pro" w:cs="Solve Pro"/>
        </w:rPr>
        <w:t>Enterprise Resource Planning (ERP) deployment date</w:t>
      </w:r>
      <w:r w:rsidR="006F4488">
        <w:rPr>
          <w:rFonts w:ascii="Solve Pro" w:hAnsi="Solve Pro" w:cs="Solve Pro"/>
        </w:rPr>
        <w:t xml:space="preserve"> has been revised</w:t>
      </w:r>
      <w:r w:rsidR="00CD37E3">
        <w:rPr>
          <w:rFonts w:ascii="Solve Pro" w:hAnsi="Solve Pro" w:cs="Solve Pro"/>
        </w:rPr>
        <w:t xml:space="preserve"> to </w:t>
      </w:r>
      <w:r w:rsidR="00CD37E3" w:rsidRPr="002979F4">
        <w:rPr>
          <w:rFonts w:ascii="Solve Pro" w:hAnsi="Solve Pro" w:cs="Solve Pro"/>
          <w:b/>
          <w:bCs/>
        </w:rPr>
        <w:t>July</w:t>
      </w:r>
      <w:r w:rsidR="00EE5109">
        <w:rPr>
          <w:rFonts w:ascii="Solve Pro" w:hAnsi="Solve Pro" w:cs="Solve Pro"/>
          <w:b/>
          <w:bCs/>
        </w:rPr>
        <w:t xml:space="preserve"> </w:t>
      </w:r>
      <w:r w:rsidR="00CD37E3" w:rsidRPr="002979F4">
        <w:rPr>
          <w:rFonts w:ascii="Solve Pro" w:hAnsi="Solve Pro" w:cs="Solve Pro"/>
          <w:b/>
          <w:bCs/>
        </w:rPr>
        <w:t>2026</w:t>
      </w:r>
      <w:r w:rsidR="00CD37E3">
        <w:rPr>
          <w:rFonts w:ascii="Solve Pro" w:hAnsi="Solve Pro" w:cs="Solve Pro"/>
        </w:rPr>
        <w:t xml:space="preserve">.  We recognize </w:t>
      </w:r>
      <w:r w:rsidR="00DB2BEF">
        <w:rPr>
          <w:rFonts w:ascii="Solve Pro" w:hAnsi="Solve Pro" w:cs="Solve Pro"/>
        </w:rPr>
        <w:t xml:space="preserve">the efforts made in preparation for this transition, and we want to acknowledge the impact this may have </w:t>
      </w:r>
      <w:r w:rsidR="005931CB">
        <w:rPr>
          <w:rFonts w:ascii="Solve Pro" w:hAnsi="Solve Pro" w:cs="Solve Pro"/>
        </w:rPr>
        <w:t xml:space="preserve">on your planning.  We sincerely apologize for any inconvenience this change may </w:t>
      </w:r>
      <w:r w:rsidR="00027933">
        <w:rPr>
          <w:rFonts w:ascii="Solve Pro" w:hAnsi="Solve Pro" w:cs="Solve Pro"/>
        </w:rPr>
        <w:t xml:space="preserve">cause and appreciate </w:t>
      </w:r>
      <w:proofErr w:type="gramStart"/>
      <w:r w:rsidR="00027933">
        <w:rPr>
          <w:rFonts w:ascii="Solve Pro" w:hAnsi="Solve Pro" w:cs="Solve Pro"/>
        </w:rPr>
        <w:t>your</w:t>
      </w:r>
      <w:proofErr w:type="gramEnd"/>
      <w:r w:rsidR="00027933">
        <w:rPr>
          <w:rFonts w:ascii="Solve Pro" w:hAnsi="Solve Pro" w:cs="Solve Pro"/>
        </w:rPr>
        <w:t xml:space="preserve"> understanding.</w:t>
      </w:r>
    </w:p>
    <w:p w14:paraId="723B3746" w14:textId="0A6D389C" w:rsidR="00027933" w:rsidRDefault="00027933" w:rsidP="0009054E">
      <w:pPr>
        <w:rPr>
          <w:rFonts w:ascii="Solve Pro" w:hAnsi="Solve Pro" w:cs="Solve Pro"/>
        </w:rPr>
      </w:pPr>
      <w:r>
        <w:rPr>
          <w:rFonts w:ascii="Solve Pro" w:hAnsi="Solve Pro" w:cs="Solve Pro"/>
        </w:rPr>
        <w:t xml:space="preserve">This decision reflects </w:t>
      </w:r>
      <w:r w:rsidR="00BF436E">
        <w:rPr>
          <w:rFonts w:ascii="Solve Pro" w:hAnsi="Solve Pro" w:cs="Solve Pro"/>
        </w:rPr>
        <w:t>our commitment to ensuring a smooth transition that prioritizes service continuity</w:t>
      </w:r>
      <w:r w:rsidR="00E3162A">
        <w:rPr>
          <w:rFonts w:ascii="Solve Pro" w:hAnsi="Solve Pro" w:cs="Solve Pro"/>
        </w:rPr>
        <w:t xml:space="preserve"> and a robust operational foundation as Solventum continues working toward a successful transition.  This extension will allow </w:t>
      </w:r>
      <w:r w:rsidR="00360565">
        <w:rPr>
          <w:rFonts w:ascii="Solve Pro" w:hAnsi="Solve Pro" w:cs="Solve Pro"/>
        </w:rPr>
        <w:t xml:space="preserve">us to complete final testing of critical processes and tools and ensure we are prepared </w:t>
      </w:r>
      <w:r w:rsidR="00E52021">
        <w:rPr>
          <w:rFonts w:ascii="Solve Pro" w:hAnsi="Solve Pro" w:cs="Solve Pro"/>
        </w:rPr>
        <w:t>to deliver the high-quality service you expect and deserve.</w:t>
      </w:r>
    </w:p>
    <w:p w14:paraId="7BEF07AD" w14:textId="50259D6B" w:rsidR="000E7D89" w:rsidRDefault="000E7D89" w:rsidP="0009054E">
      <w:pPr>
        <w:rPr>
          <w:rFonts w:ascii="Solve Pro" w:hAnsi="Solve Pro" w:cs="Solve Pro"/>
        </w:rPr>
      </w:pPr>
      <w:r>
        <w:rPr>
          <w:rFonts w:ascii="Solve Pro" w:hAnsi="Solve Pro" w:cs="Solve Pro"/>
        </w:rPr>
        <w:t xml:space="preserve">We continue to build upon the significant progress made and appreciate your </w:t>
      </w:r>
      <w:r w:rsidR="007C2964">
        <w:rPr>
          <w:rFonts w:ascii="Solve Pro" w:hAnsi="Solve Pro" w:cs="Solve Pro"/>
        </w:rPr>
        <w:t>patience as some processes may take time to stabilize.  Over the following months</w:t>
      </w:r>
      <w:r w:rsidR="00601E68">
        <w:rPr>
          <w:rFonts w:ascii="Solve Pro" w:hAnsi="Solve Pro" w:cs="Solve Pro"/>
        </w:rPr>
        <w:t xml:space="preserve">, we will provide </w:t>
      </w:r>
      <w:proofErr w:type="gramStart"/>
      <w:r w:rsidR="00601E68">
        <w:rPr>
          <w:rFonts w:ascii="Solve Pro" w:hAnsi="Solve Pro" w:cs="Solve Pro"/>
        </w:rPr>
        <w:t>you</w:t>
      </w:r>
      <w:proofErr w:type="gramEnd"/>
      <w:r w:rsidR="00601E68">
        <w:rPr>
          <w:rFonts w:ascii="Solve Pro" w:hAnsi="Solve Pro" w:cs="Solve Pro"/>
        </w:rPr>
        <w:t xml:space="preserve"> more details regarding</w:t>
      </w:r>
      <w:r w:rsidR="0099749E">
        <w:rPr>
          <w:rFonts w:ascii="Solve Pro" w:hAnsi="Solve Pro" w:cs="Solve Pro"/>
        </w:rPr>
        <w:t xml:space="preserve"> the</w:t>
      </w:r>
      <w:r w:rsidR="00601E68">
        <w:rPr>
          <w:rFonts w:ascii="Solve Pro" w:hAnsi="Solve Pro" w:cs="Solve Pro"/>
        </w:rPr>
        <w:t xml:space="preserve"> timeline, changes </w:t>
      </w:r>
      <w:r w:rsidR="00B85F1F">
        <w:rPr>
          <w:rFonts w:ascii="Solve Pro" w:hAnsi="Solve Pro" w:cs="Solve Pro"/>
        </w:rPr>
        <w:t xml:space="preserve">to our processes, and the information you will need to officially </w:t>
      </w:r>
      <w:r w:rsidR="008F761D">
        <w:rPr>
          <w:rFonts w:ascii="Solve Pro" w:hAnsi="Solve Pro" w:cs="Solve Pro"/>
        </w:rPr>
        <w:t xml:space="preserve">transition </w:t>
      </w:r>
      <w:r w:rsidR="00ED3B93">
        <w:rPr>
          <w:rFonts w:ascii="Solve Pro" w:hAnsi="Solve Pro" w:cs="Solve Pro"/>
        </w:rPr>
        <w:t>from 3M systems to Solventum.</w:t>
      </w:r>
    </w:p>
    <w:p w14:paraId="56FEF4C9" w14:textId="2B35320B" w:rsidR="0009054E" w:rsidRPr="00EB7E04" w:rsidRDefault="0009054E" w:rsidP="0009054E">
      <w:pPr>
        <w:rPr>
          <w:rFonts w:ascii="Solve Pro" w:hAnsi="Solve Pro" w:cs="Solve Pro"/>
        </w:rPr>
      </w:pPr>
      <w:r w:rsidRPr="00EB7E04">
        <w:rPr>
          <w:rFonts w:ascii="Solve Pro" w:hAnsi="Solve Pro" w:cs="Solve Pro"/>
        </w:rPr>
        <w:t xml:space="preserve">Our customers </w:t>
      </w:r>
      <w:r w:rsidR="00C002DA">
        <w:rPr>
          <w:rFonts w:ascii="Solve Pro" w:hAnsi="Solve Pro" w:cs="Solve Pro"/>
        </w:rPr>
        <w:t>remain</w:t>
      </w:r>
      <w:r w:rsidRPr="00EB7E04">
        <w:rPr>
          <w:rFonts w:ascii="Solve Pro" w:hAnsi="Solve Pro" w:cs="Solve Pro"/>
        </w:rPr>
        <w:t xml:space="preserve"> our highest priority, and we are committed to providing strong service</w:t>
      </w:r>
      <w:r w:rsidR="00EB7E04" w:rsidRPr="00EB7E04">
        <w:rPr>
          <w:rFonts w:ascii="Solve Pro" w:hAnsi="Solve Pro" w:cs="Solve Pro"/>
        </w:rPr>
        <w:t xml:space="preserve"> and support </w:t>
      </w:r>
      <w:r w:rsidR="0091389F">
        <w:rPr>
          <w:rFonts w:ascii="Solve Pro" w:hAnsi="Solve Pro" w:cs="Solve Pro"/>
        </w:rPr>
        <w:t>throughout this transition</w:t>
      </w:r>
      <w:r w:rsidR="00EB7E04" w:rsidRPr="00EB7E04">
        <w:rPr>
          <w:rFonts w:ascii="Solve Pro" w:hAnsi="Solve Pro" w:cs="Solve Pro"/>
        </w:rPr>
        <w:t>.</w:t>
      </w:r>
      <w:r w:rsidR="006915E8">
        <w:rPr>
          <w:rFonts w:ascii="Solve Pro" w:hAnsi="Solve Pro" w:cs="Solve Pro"/>
        </w:rPr>
        <w:t xml:space="preserve">  </w:t>
      </w:r>
      <w:r w:rsidR="00EB7E04" w:rsidRPr="00EB7E04">
        <w:rPr>
          <w:rFonts w:ascii="Solve Pro" w:hAnsi="Solve Pro" w:cs="Solve Pro"/>
        </w:rPr>
        <w:t xml:space="preserve">Our customer service and sales teams will </w:t>
      </w:r>
      <w:r w:rsidR="006A03D6">
        <w:rPr>
          <w:rFonts w:ascii="Solve Pro" w:hAnsi="Solve Pro" w:cs="Solve Pro"/>
        </w:rPr>
        <w:t>stay</w:t>
      </w:r>
      <w:r w:rsidR="00EB7E04" w:rsidRPr="00EB7E04">
        <w:rPr>
          <w:rFonts w:ascii="Solve Pro" w:hAnsi="Solve Pro" w:cs="Solve Pro"/>
        </w:rPr>
        <w:t xml:space="preserve"> close</w:t>
      </w:r>
      <w:r w:rsidR="006A03D6">
        <w:rPr>
          <w:rFonts w:ascii="Solve Pro" w:hAnsi="Solve Pro" w:cs="Solve Pro"/>
        </w:rPr>
        <w:t>ly connected</w:t>
      </w:r>
      <w:r w:rsidR="00EB7E04" w:rsidRPr="00EB7E04">
        <w:rPr>
          <w:rFonts w:ascii="Solve Pro" w:hAnsi="Solve Pro" w:cs="Solve Pro"/>
        </w:rPr>
        <w:t xml:space="preserve"> with you to </w:t>
      </w:r>
      <w:r w:rsidR="002B4965">
        <w:rPr>
          <w:rFonts w:ascii="Solve Pro" w:hAnsi="Solve Pro" w:cs="Solve Pro"/>
        </w:rPr>
        <w:t>ensure a smooth process</w:t>
      </w:r>
      <w:r w:rsidR="00EB7E04" w:rsidRPr="00EB7E04">
        <w:rPr>
          <w:rFonts w:ascii="Solve Pro" w:hAnsi="Solve Pro" w:cs="Solve Pro"/>
        </w:rPr>
        <w:t xml:space="preserve">.  </w:t>
      </w:r>
    </w:p>
    <w:p w14:paraId="3DE85A4F" w14:textId="132BBB03" w:rsidR="00EB7E04" w:rsidRDefault="00EB7E04" w:rsidP="0009054E">
      <w:pPr>
        <w:rPr>
          <w:rFonts w:ascii="Solve Pro" w:hAnsi="Solve Pro" w:cs="Solve Pro"/>
        </w:rPr>
      </w:pPr>
      <w:r w:rsidRPr="00EB7E04">
        <w:rPr>
          <w:rFonts w:ascii="Solve Pro" w:hAnsi="Solve Pro" w:cs="Solve Pro"/>
        </w:rPr>
        <w:t xml:space="preserve">Thank you for your continued support of Solventum products and </w:t>
      </w:r>
      <w:r w:rsidR="000E5DCE">
        <w:rPr>
          <w:rFonts w:ascii="Solve Pro" w:hAnsi="Solve Pro" w:cs="Solve Pro"/>
        </w:rPr>
        <w:t xml:space="preserve">helping us </w:t>
      </w:r>
      <w:r w:rsidRPr="00EB7E04">
        <w:rPr>
          <w:rFonts w:ascii="Solve Pro" w:hAnsi="Solve Pro" w:cs="Solve Pro"/>
        </w:rPr>
        <w:t xml:space="preserve">improve lives worldwide.  </w:t>
      </w:r>
      <w:r w:rsidR="009743DB">
        <w:rPr>
          <w:rFonts w:ascii="Solve Pro" w:hAnsi="Solve Pro" w:cs="Solve Pro"/>
        </w:rPr>
        <w:t xml:space="preserve">We truly appreciate your partnership and collaboration during this time.  </w:t>
      </w:r>
      <w:r w:rsidRPr="00EB7E04">
        <w:rPr>
          <w:rFonts w:ascii="Solve Pro" w:hAnsi="Solve Pro" w:cs="Solve Pro"/>
        </w:rPr>
        <w:t>If you have any questions, please reach out to your Solventum representative.</w:t>
      </w:r>
    </w:p>
    <w:p w14:paraId="6D42C283" w14:textId="49E38AF1" w:rsidR="00EB7E04" w:rsidRPr="00EB7E04" w:rsidRDefault="000E5DCE" w:rsidP="0009054E">
      <w:pPr>
        <w:rPr>
          <w:rFonts w:ascii="Solve Pro" w:hAnsi="Solve Pro" w:cs="Solve Pro"/>
        </w:rPr>
      </w:pPr>
      <w:r w:rsidRPr="00EB7E04">
        <w:rPr>
          <w:rFonts w:ascii="Solve Pro" w:hAnsi="Solve Pro" w:cs="Solve Pro"/>
        </w:rPr>
        <w:t>Please share this notification with all relevant individuals in your organization.</w:t>
      </w:r>
    </w:p>
    <w:p w14:paraId="1CC9E0EE" w14:textId="6E8277E0" w:rsidR="00EB7E04" w:rsidRPr="00EB7E04" w:rsidRDefault="002957FA" w:rsidP="0009054E">
      <w:pPr>
        <w:rPr>
          <w:rFonts w:ascii="Solve Pro" w:hAnsi="Solve Pro" w:cs="Solve Pro"/>
        </w:rPr>
      </w:pPr>
      <w:r>
        <w:rPr>
          <w:rFonts w:ascii="Solve Pro" w:hAnsi="Solve Pro" w:cs="Solve Pro"/>
        </w:rPr>
        <w:t>Best Regards</w:t>
      </w:r>
      <w:r w:rsidR="00EB7E04" w:rsidRPr="00EB7E04">
        <w:rPr>
          <w:rFonts w:ascii="Solve Pro" w:hAnsi="Solve Pro" w:cs="Solve Pro"/>
        </w:rPr>
        <w:t>,</w:t>
      </w:r>
    </w:p>
    <w:p w14:paraId="6879D291" w14:textId="07B7CCE9" w:rsidR="00EB7E04" w:rsidRDefault="006A691B" w:rsidP="0009054E">
      <w:r w:rsidRPr="00766100">
        <w:rPr>
          <w:rFonts w:ascii="Solve Pro" w:eastAsia="Solve Pro" w:hAnsi="Solve Pro" w:cs="Solve Pro"/>
          <w:noProof/>
          <w:lang w:bidi="fr-CA"/>
        </w:rPr>
        <w:lastRenderedPageBreak/>
        <w:drawing>
          <wp:inline distT="0" distB="0" distL="0" distR="0" wp14:anchorId="313CB1BB" wp14:editId="007B176C">
            <wp:extent cx="512033" cy="579112"/>
            <wp:effectExtent l="0" t="0" r="2540" b="0"/>
            <wp:docPr id="1869340986" name="Picture 1" descr="A blue hand drawn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40986" name="Picture 1" descr="A blue hand drawn on a white surfac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300" cy="60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C1748" w14:textId="77777777" w:rsidR="002957FA" w:rsidRPr="009D125C" w:rsidRDefault="002957FA" w:rsidP="002957FA">
      <w:pPr>
        <w:rPr>
          <w:rFonts w:ascii="Solve Pro" w:hAnsi="Solve Pro" w:cs="Solve Pro"/>
          <w:b/>
          <w:bCs/>
          <w:lang w:val="en-AE"/>
        </w:rPr>
      </w:pPr>
      <w:bookmarkStart w:id="0" w:name="_Hlk218667368"/>
      <w:r w:rsidRPr="009D125C">
        <w:rPr>
          <w:rFonts w:ascii="Solve Pro" w:hAnsi="Solve Pro" w:cs="Solve Pro"/>
          <w:b/>
          <w:bCs/>
          <w:lang w:val="en-AE"/>
        </w:rPr>
        <w:t>Laszlo Svinger</w:t>
      </w:r>
    </w:p>
    <w:p w14:paraId="59146E78" w14:textId="77777777" w:rsidR="009743DB" w:rsidRDefault="002957FA" w:rsidP="002957FA">
      <w:pPr>
        <w:rPr>
          <w:rFonts w:ascii="Solve Pro" w:hAnsi="Solve Pro" w:cs="Solve Pro"/>
          <w:lang w:val="en-AE"/>
        </w:rPr>
      </w:pPr>
      <w:r w:rsidRPr="009D125C">
        <w:rPr>
          <w:rFonts w:ascii="Solve Pro" w:hAnsi="Solve Pro" w:cs="Solve Pro"/>
          <w:lang w:val="en-AE"/>
        </w:rPr>
        <w:t>Vice President, Global Commercial Operations</w:t>
      </w:r>
    </w:p>
    <w:p w14:paraId="7D25EBA9" w14:textId="16EB39C8" w:rsidR="002957FA" w:rsidRPr="009743DB" w:rsidRDefault="009743DB" w:rsidP="002957FA">
      <w:pPr>
        <w:rPr>
          <w:rFonts w:ascii="Solve Pro" w:hAnsi="Solve Pro" w:cs="Solve Pro"/>
          <w:lang w:val="en-AE"/>
        </w:rPr>
      </w:pPr>
      <w:r>
        <w:rPr>
          <w:rFonts w:ascii="Solve Pro" w:hAnsi="Solve Pro" w:cs="Solve Pro"/>
          <w:lang w:val="en-AE"/>
        </w:rPr>
        <w:t>Solventum</w:t>
      </w:r>
      <w:r w:rsidR="002957FA" w:rsidRPr="009D125C">
        <w:rPr>
          <w:rFonts w:ascii="Solve Pro" w:hAnsi="Solve Pro" w:cs="Solve Pro"/>
          <w:lang w:val="en-AE"/>
        </w:rPr>
        <w:t xml:space="preserve"> </w:t>
      </w:r>
    </w:p>
    <w:bookmarkEnd w:id="0"/>
    <w:p w14:paraId="43068523" w14:textId="77777777" w:rsidR="002957FA" w:rsidRDefault="002957FA" w:rsidP="0009054E"/>
    <w:p w14:paraId="189A66E0" w14:textId="77777777" w:rsidR="0009054E" w:rsidRDefault="0009054E"/>
    <w:sectPr w:rsidR="000905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11B6" w14:textId="77777777" w:rsidR="00C91F05" w:rsidRDefault="00C91F05" w:rsidP="00A93DA2">
      <w:pPr>
        <w:spacing w:after="0" w:line="240" w:lineRule="auto"/>
      </w:pPr>
      <w:r>
        <w:separator/>
      </w:r>
    </w:p>
  </w:endnote>
  <w:endnote w:type="continuationSeparator" w:id="0">
    <w:p w14:paraId="1577D1BE" w14:textId="77777777" w:rsidR="00C91F05" w:rsidRDefault="00C91F05" w:rsidP="00A9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ve Pro">
    <w:panose1 w:val="020B0503030202060203"/>
    <w:charset w:val="00"/>
    <w:family w:val="swiss"/>
    <w:notTrueType/>
    <w:pitch w:val="variable"/>
    <w:sig w:usb0="A1002AFF" w:usb1="C000A47B" w:usb2="0000001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5C00" w14:textId="77777777" w:rsidR="00A93DA2" w:rsidRDefault="00A93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665C" w14:textId="77777777" w:rsidR="00A93DA2" w:rsidRDefault="00A93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4D86" w14:textId="77777777" w:rsidR="00A93DA2" w:rsidRDefault="00A93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D1E5" w14:textId="77777777" w:rsidR="00C91F05" w:rsidRDefault="00C91F05" w:rsidP="00A93DA2">
      <w:pPr>
        <w:spacing w:after="0" w:line="240" w:lineRule="auto"/>
      </w:pPr>
      <w:r>
        <w:separator/>
      </w:r>
    </w:p>
  </w:footnote>
  <w:footnote w:type="continuationSeparator" w:id="0">
    <w:p w14:paraId="7693E816" w14:textId="77777777" w:rsidR="00C91F05" w:rsidRDefault="00C91F05" w:rsidP="00A9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FBB3" w14:textId="77777777" w:rsidR="00A93DA2" w:rsidRDefault="00A93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D412" w14:textId="5F2064A4" w:rsidR="00A93DA2" w:rsidRDefault="00A93D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FC77" w14:textId="77777777" w:rsidR="00A93DA2" w:rsidRDefault="00A93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31DF"/>
    <w:multiLevelType w:val="hybridMultilevel"/>
    <w:tmpl w:val="DB784E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441644"/>
    <w:multiLevelType w:val="hybridMultilevel"/>
    <w:tmpl w:val="BDA8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10668">
    <w:abstractNumId w:val="0"/>
  </w:num>
  <w:num w:numId="2" w16cid:durableId="192626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4E"/>
    <w:rsid w:val="00000E6D"/>
    <w:rsid w:val="00005342"/>
    <w:rsid w:val="00021F57"/>
    <w:rsid w:val="00027933"/>
    <w:rsid w:val="00085598"/>
    <w:rsid w:val="0009054E"/>
    <w:rsid w:val="000B0697"/>
    <w:rsid w:val="000C01B4"/>
    <w:rsid w:val="000C4E95"/>
    <w:rsid w:val="000E5DCE"/>
    <w:rsid w:val="000E7D89"/>
    <w:rsid w:val="00105610"/>
    <w:rsid w:val="001074B7"/>
    <w:rsid w:val="00140E9A"/>
    <w:rsid w:val="0015299C"/>
    <w:rsid w:val="00171CE0"/>
    <w:rsid w:val="0017307F"/>
    <w:rsid w:val="0018061E"/>
    <w:rsid w:val="001942BC"/>
    <w:rsid w:val="001B47BC"/>
    <w:rsid w:val="002531EC"/>
    <w:rsid w:val="002957FA"/>
    <w:rsid w:val="002979F4"/>
    <w:rsid w:val="002A048F"/>
    <w:rsid w:val="002A499F"/>
    <w:rsid w:val="002B4965"/>
    <w:rsid w:val="002F5546"/>
    <w:rsid w:val="00326558"/>
    <w:rsid w:val="00360565"/>
    <w:rsid w:val="003A708F"/>
    <w:rsid w:val="003E4507"/>
    <w:rsid w:val="00403D0A"/>
    <w:rsid w:val="00424EBA"/>
    <w:rsid w:val="004567D5"/>
    <w:rsid w:val="00465DBD"/>
    <w:rsid w:val="004857F2"/>
    <w:rsid w:val="004B4F41"/>
    <w:rsid w:val="004C3270"/>
    <w:rsid w:val="00563C7C"/>
    <w:rsid w:val="0056664D"/>
    <w:rsid w:val="00570AF0"/>
    <w:rsid w:val="005931CB"/>
    <w:rsid w:val="005A5816"/>
    <w:rsid w:val="005B4DE5"/>
    <w:rsid w:val="005C033B"/>
    <w:rsid w:val="00601E68"/>
    <w:rsid w:val="00607F18"/>
    <w:rsid w:val="00637C9F"/>
    <w:rsid w:val="006416E1"/>
    <w:rsid w:val="00647ECB"/>
    <w:rsid w:val="006915E8"/>
    <w:rsid w:val="006A03D6"/>
    <w:rsid w:val="006A691B"/>
    <w:rsid w:val="006D33FB"/>
    <w:rsid w:val="006D7DE0"/>
    <w:rsid w:val="006F4488"/>
    <w:rsid w:val="007104AB"/>
    <w:rsid w:val="00736683"/>
    <w:rsid w:val="00740A0D"/>
    <w:rsid w:val="00745D99"/>
    <w:rsid w:val="007743E6"/>
    <w:rsid w:val="00780839"/>
    <w:rsid w:val="007C2118"/>
    <w:rsid w:val="007C2964"/>
    <w:rsid w:val="00853CB7"/>
    <w:rsid w:val="00864514"/>
    <w:rsid w:val="008771AE"/>
    <w:rsid w:val="008A6C8A"/>
    <w:rsid w:val="008F761D"/>
    <w:rsid w:val="0091389F"/>
    <w:rsid w:val="00965750"/>
    <w:rsid w:val="009743DB"/>
    <w:rsid w:val="0099749E"/>
    <w:rsid w:val="009D125C"/>
    <w:rsid w:val="00A05407"/>
    <w:rsid w:val="00A367DF"/>
    <w:rsid w:val="00A93DA2"/>
    <w:rsid w:val="00AB2F82"/>
    <w:rsid w:val="00AB471D"/>
    <w:rsid w:val="00AB7BF7"/>
    <w:rsid w:val="00B153E7"/>
    <w:rsid w:val="00B33ACC"/>
    <w:rsid w:val="00B54963"/>
    <w:rsid w:val="00B57475"/>
    <w:rsid w:val="00B703DD"/>
    <w:rsid w:val="00B85F1F"/>
    <w:rsid w:val="00BD3DFC"/>
    <w:rsid w:val="00BF436E"/>
    <w:rsid w:val="00C002DA"/>
    <w:rsid w:val="00C33311"/>
    <w:rsid w:val="00C91F05"/>
    <w:rsid w:val="00CB7C6D"/>
    <w:rsid w:val="00CC533A"/>
    <w:rsid w:val="00CD37E3"/>
    <w:rsid w:val="00CE35FB"/>
    <w:rsid w:val="00D00150"/>
    <w:rsid w:val="00D20A08"/>
    <w:rsid w:val="00D52162"/>
    <w:rsid w:val="00D706E2"/>
    <w:rsid w:val="00DA4C84"/>
    <w:rsid w:val="00DB2BEF"/>
    <w:rsid w:val="00DB62D0"/>
    <w:rsid w:val="00DB70AD"/>
    <w:rsid w:val="00DE3105"/>
    <w:rsid w:val="00E15FE6"/>
    <w:rsid w:val="00E3162A"/>
    <w:rsid w:val="00E52021"/>
    <w:rsid w:val="00E53F65"/>
    <w:rsid w:val="00E82BBB"/>
    <w:rsid w:val="00EB108D"/>
    <w:rsid w:val="00EB7E04"/>
    <w:rsid w:val="00ED3B93"/>
    <w:rsid w:val="00EE5109"/>
    <w:rsid w:val="00EF1846"/>
    <w:rsid w:val="00F01C02"/>
    <w:rsid w:val="00F33A9C"/>
    <w:rsid w:val="00F43C0C"/>
    <w:rsid w:val="00FA05A8"/>
    <w:rsid w:val="00F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DF86B"/>
  <w15:chartTrackingRefBased/>
  <w15:docId w15:val="{834362B8-4F70-4C1A-B5EF-37A02669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5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DA2"/>
  </w:style>
  <w:style w:type="paragraph" w:styleId="Footer">
    <w:name w:val="footer"/>
    <w:basedOn w:val="Normal"/>
    <w:link w:val="FooterChar"/>
    <w:uiPriority w:val="99"/>
    <w:unhideWhenUsed/>
    <w:rsid w:val="00A93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6A75-2826-4EB3-A7A5-69416E02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Elias</dc:creator>
  <cp:keywords/>
  <dc:description/>
  <cp:lastModifiedBy>Benjamin Elias</cp:lastModifiedBy>
  <cp:revision>54</cp:revision>
  <dcterms:created xsi:type="dcterms:W3CDTF">2025-12-15T21:57:00Z</dcterms:created>
  <dcterms:modified xsi:type="dcterms:W3CDTF">2026-03-06T15:43:00Z</dcterms:modified>
</cp:coreProperties>
</file>